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8E549" w14:textId="3D409E34" w:rsidR="00DD64CA" w:rsidRPr="00DC6BF9" w:rsidRDefault="5A0F3A04" w:rsidP="5A0F3A04">
      <w:pPr>
        <w:spacing w:after="160" w:line="360" w:lineRule="auto"/>
        <w:rPr>
          <w:rFonts w:asciiTheme="majorHAnsi" w:hAnsiTheme="majorHAnsi" w:cstheme="majorBidi"/>
          <w:lang w:val="pl-PL"/>
        </w:rPr>
      </w:pPr>
      <w:r w:rsidRPr="5A0F3A04">
        <w:rPr>
          <w:rFonts w:asciiTheme="majorHAnsi" w:hAnsiTheme="majorHAnsi" w:cstheme="majorBidi"/>
          <w:lang w:val="pl-PL"/>
        </w:rPr>
        <w:t xml:space="preserve">Projekt ubiega </w:t>
      </w:r>
      <w:r w:rsidRPr="5A0F3A04">
        <w:rPr>
          <w:rFonts w:asciiTheme="majorHAnsi" w:hAnsiTheme="majorHAnsi" w:cstheme="majorBidi"/>
          <w:lang w:val="pl-PL"/>
        </w:rPr>
        <w:t>się o współfinansowanie ze ścieżki SMART w ramach Programu Fundusze Europejskie dla Nowoczesnej Gospodarki 2021-2027,  Priorytet 1. Wsparcie dla przedsiębiorców, projekt nr FENG.01.01-IP.01-A1E8/25</w:t>
      </w:r>
    </w:p>
    <w:p w14:paraId="1C5EE8C3" w14:textId="77777777" w:rsidR="007A32DE" w:rsidRPr="00DC6BF9" w:rsidRDefault="007A32DE" w:rsidP="00DC6BF9">
      <w:pPr>
        <w:pStyle w:val="Nagwek1"/>
        <w:spacing w:line="360" w:lineRule="auto"/>
        <w:rPr>
          <w:rFonts w:cstheme="majorHAnsi"/>
          <w:b w:val="0"/>
          <w:bCs w:val="0"/>
          <w:sz w:val="22"/>
          <w:szCs w:val="22"/>
          <w:lang w:val="pl-PL"/>
        </w:rPr>
      </w:pPr>
    </w:p>
    <w:p w14:paraId="5BC34074" w14:textId="77777777" w:rsidR="007A32DE" w:rsidRPr="007A32DE" w:rsidRDefault="007A32DE" w:rsidP="00DC6BF9">
      <w:pPr>
        <w:spacing w:before="100" w:beforeAutospacing="1" w:after="100" w:afterAutospacing="1" w:line="360" w:lineRule="auto"/>
        <w:jc w:val="center"/>
        <w:rPr>
          <w:rFonts w:asciiTheme="majorHAnsi" w:eastAsia="Times New Roman" w:hAnsiTheme="majorHAnsi" w:cstheme="majorHAnsi"/>
          <w:lang w:val="pl-PL" w:eastAsia="pl-PL"/>
        </w:rPr>
      </w:pPr>
      <w:r w:rsidRPr="007A32DE">
        <w:rPr>
          <w:rFonts w:asciiTheme="majorHAnsi" w:eastAsia="Times New Roman" w:hAnsiTheme="majorHAnsi" w:cstheme="majorHAnsi"/>
          <w:sz w:val="32"/>
          <w:szCs w:val="32"/>
          <w:lang w:val="pl-PL" w:eastAsia="pl-PL"/>
        </w:rPr>
        <w:t>PROJEKT UMOWY</w:t>
      </w:r>
      <w:r w:rsidRPr="007A32DE">
        <w:rPr>
          <w:rFonts w:asciiTheme="majorHAnsi" w:eastAsia="Times New Roman" w:hAnsiTheme="majorHAnsi" w:cstheme="majorHAnsi"/>
          <w:lang w:val="pl-PL" w:eastAsia="pl-PL"/>
        </w:rPr>
        <w:br/>
        <w:t>nr ………/2025</w:t>
      </w:r>
      <w:r w:rsidRPr="007A32DE">
        <w:rPr>
          <w:rFonts w:asciiTheme="majorHAnsi" w:eastAsia="Times New Roman" w:hAnsiTheme="majorHAnsi" w:cstheme="majorHAnsi"/>
          <w:lang w:val="pl-PL" w:eastAsia="pl-PL"/>
        </w:rPr>
        <w:br/>
        <w:t>zawarta w dniu ………………… 2025 r. w Warszawie pomiędzy:</w:t>
      </w:r>
    </w:p>
    <w:p w14:paraId="6C8C86FE" w14:textId="77777777" w:rsidR="007A32DE" w:rsidRPr="007A32DE" w:rsidRDefault="007A32DE" w:rsidP="00DC6BF9">
      <w:pPr>
        <w:spacing w:before="100" w:beforeAutospacing="1" w:after="100" w:afterAutospacing="1" w:line="360" w:lineRule="auto"/>
        <w:rPr>
          <w:rFonts w:asciiTheme="majorHAnsi" w:eastAsia="Times New Roman" w:hAnsiTheme="majorHAnsi" w:cstheme="majorHAnsi"/>
          <w:lang w:val="pl-PL" w:eastAsia="pl-PL"/>
        </w:rPr>
      </w:pPr>
      <w:r w:rsidRPr="007A32DE">
        <w:rPr>
          <w:rFonts w:asciiTheme="majorHAnsi" w:eastAsia="Times New Roman" w:hAnsiTheme="majorHAnsi" w:cstheme="majorHAnsi"/>
          <w:lang w:val="pl-PL" w:eastAsia="pl-PL"/>
        </w:rPr>
        <w:t>Zamawiającym:</w:t>
      </w:r>
      <w:r w:rsidRPr="007A32DE">
        <w:rPr>
          <w:rFonts w:asciiTheme="majorHAnsi" w:eastAsia="Times New Roman" w:hAnsiTheme="majorHAnsi" w:cstheme="majorHAnsi"/>
          <w:lang w:val="pl-PL" w:eastAsia="pl-PL"/>
        </w:rPr>
        <w:br/>
      </w:r>
      <w:proofErr w:type="spellStart"/>
      <w:r w:rsidRPr="007A32DE">
        <w:rPr>
          <w:rFonts w:asciiTheme="majorHAnsi" w:eastAsia="Times New Roman" w:hAnsiTheme="majorHAnsi" w:cstheme="majorHAnsi"/>
          <w:lang w:val="pl-PL" w:eastAsia="pl-PL"/>
        </w:rPr>
        <w:t>Topcan</w:t>
      </w:r>
      <w:proofErr w:type="spellEnd"/>
      <w:r w:rsidRPr="007A32DE">
        <w:rPr>
          <w:rFonts w:asciiTheme="majorHAnsi" w:eastAsia="Times New Roman" w:hAnsiTheme="majorHAnsi" w:cstheme="majorHAnsi"/>
          <w:lang w:val="pl-PL" w:eastAsia="pl-PL"/>
        </w:rPr>
        <w:t xml:space="preserve"> Sp. z o.o.</w:t>
      </w:r>
      <w:r w:rsidRPr="007A32DE">
        <w:rPr>
          <w:rFonts w:asciiTheme="majorHAnsi" w:eastAsia="Times New Roman" w:hAnsiTheme="majorHAnsi" w:cstheme="majorHAnsi"/>
          <w:lang w:val="pl-PL" w:eastAsia="pl-PL"/>
        </w:rPr>
        <w:br/>
        <w:t>z siedzibą w Warszawie, ul. Śniadeckich 20/1, 00-656 Warszawa</w:t>
      </w:r>
      <w:r w:rsidRPr="007A32DE">
        <w:rPr>
          <w:rFonts w:asciiTheme="majorHAnsi" w:eastAsia="Times New Roman" w:hAnsiTheme="majorHAnsi" w:cstheme="majorHAnsi"/>
          <w:lang w:val="pl-PL" w:eastAsia="pl-PL"/>
        </w:rPr>
        <w:br/>
        <w:t>NIP: 701071125</w:t>
      </w:r>
      <w:r w:rsidRPr="007A32DE">
        <w:rPr>
          <w:rFonts w:asciiTheme="majorHAnsi" w:eastAsia="Times New Roman" w:hAnsiTheme="majorHAnsi" w:cstheme="majorHAnsi"/>
          <w:lang w:val="pl-PL" w:eastAsia="pl-PL"/>
        </w:rPr>
        <w:br/>
        <w:t>reprezentowaną przez ………………………………………………………………</w:t>
      </w:r>
      <w:r w:rsidRPr="007A32DE">
        <w:rPr>
          <w:rFonts w:asciiTheme="majorHAnsi" w:eastAsia="Times New Roman" w:hAnsiTheme="majorHAnsi" w:cstheme="majorHAnsi"/>
          <w:lang w:val="pl-PL" w:eastAsia="pl-PL"/>
        </w:rPr>
        <w:br/>
        <w:t>zwaną dalej „Zamawiającym”</w:t>
      </w:r>
    </w:p>
    <w:p w14:paraId="6623AAD8" w14:textId="77777777" w:rsidR="007A32DE" w:rsidRPr="007A32DE" w:rsidRDefault="007A32DE" w:rsidP="00DC6BF9">
      <w:pPr>
        <w:spacing w:before="100" w:beforeAutospacing="1" w:after="100" w:afterAutospacing="1" w:line="360" w:lineRule="auto"/>
        <w:rPr>
          <w:rFonts w:asciiTheme="majorHAnsi" w:eastAsia="Times New Roman" w:hAnsiTheme="majorHAnsi" w:cstheme="majorHAnsi"/>
          <w:lang w:val="pl-PL" w:eastAsia="pl-PL"/>
        </w:rPr>
      </w:pPr>
      <w:r w:rsidRPr="007A32DE">
        <w:rPr>
          <w:rFonts w:asciiTheme="majorHAnsi" w:eastAsia="Times New Roman" w:hAnsiTheme="majorHAnsi" w:cstheme="majorHAnsi"/>
          <w:lang w:val="pl-PL" w:eastAsia="pl-PL"/>
        </w:rPr>
        <w:t>a</w:t>
      </w:r>
    </w:p>
    <w:p w14:paraId="015E01F4" w14:textId="77777777" w:rsidR="007A32DE" w:rsidRPr="007A32DE" w:rsidRDefault="007A32DE" w:rsidP="00DC6BF9">
      <w:pPr>
        <w:spacing w:before="100" w:beforeAutospacing="1" w:after="100" w:afterAutospacing="1" w:line="360" w:lineRule="auto"/>
        <w:rPr>
          <w:rFonts w:asciiTheme="majorHAnsi" w:eastAsia="Times New Roman" w:hAnsiTheme="majorHAnsi" w:cstheme="majorHAnsi"/>
          <w:lang w:val="pl-PL" w:eastAsia="pl-PL"/>
        </w:rPr>
      </w:pPr>
      <w:r w:rsidRPr="007A32DE">
        <w:rPr>
          <w:rFonts w:asciiTheme="majorHAnsi" w:eastAsia="Times New Roman" w:hAnsiTheme="majorHAnsi" w:cstheme="majorHAnsi"/>
          <w:lang w:val="pl-PL" w:eastAsia="pl-PL"/>
        </w:rPr>
        <w:t>Wykonawcą:</w:t>
      </w:r>
      <w:r w:rsidRPr="007A32DE">
        <w:rPr>
          <w:rFonts w:asciiTheme="majorHAnsi" w:eastAsia="Times New Roman" w:hAnsiTheme="majorHAnsi" w:cstheme="majorHAnsi"/>
          <w:lang w:val="pl-PL" w:eastAsia="pl-PL"/>
        </w:rPr>
        <w:br/>
        <w:t>……………………………………………………………………………………………………</w:t>
      </w:r>
      <w:r w:rsidRPr="007A32DE">
        <w:rPr>
          <w:rFonts w:asciiTheme="majorHAnsi" w:eastAsia="Times New Roman" w:hAnsiTheme="majorHAnsi" w:cstheme="majorHAnsi"/>
          <w:lang w:val="pl-PL" w:eastAsia="pl-PL"/>
        </w:rPr>
        <w:br/>
        <w:t>z siedzibą ……………………………………………………………………………………..</w:t>
      </w:r>
      <w:r w:rsidRPr="007A32DE">
        <w:rPr>
          <w:rFonts w:asciiTheme="majorHAnsi" w:eastAsia="Times New Roman" w:hAnsiTheme="majorHAnsi" w:cstheme="majorHAnsi"/>
          <w:lang w:val="pl-PL" w:eastAsia="pl-PL"/>
        </w:rPr>
        <w:br/>
        <w:t>NIP/KRS/REGON ………………………………………</w:t>
      </w:r>
      <w:r w:rsidRPr="007A32DE">
        <w:rPr>
          <w:rFonts w:asciiTheme="majorHAnsi" w:eastAsia="Times New Roman" w:hAnsiTheme="majorHAnsi" w:cstheme="majorHAnsi"/>
          <w:lang w:val="pl-PL" w:eastAsia="pl-PL"/>
        </w:rPr>
        <w:br/>
        <w:t>reprezentowaną przez ………………………………………………………………………..</w:t>
      </w:r>
      <w:r w:rsidRPr="007A32DE">
        <w:rPr>
          <w:rFonts w:asciiTheme="majorHAnsi" w:eastAsia="Times New Roman" w:hAnsiTheme="majorHAnsi" w:cstheme="majorHAnsi"/>
          <w:lang w:val="pl-PL" w:eastAsia="pl-PL"/>
        </w:rPr>
        <w:br/>
        <w:t>zwaną dalej „Wykonawcą”,</w:t>
      </w:r>
    </w:p>
    <w:p w14:paraId="0E7DAD2F" w14:textId="77777777" w:rsidR="007A32DE" w:rsidRPr="007A32DE" w:rsidRDefault="007A32DE" w:rsidP="00DC6BF9">
      <w:pPr>
        <w:spacing w:before="100" w:beforeAutospacing="1" w:after="100" w:afterAutospacing="1" w:line="360" w:lineRule="auto"/>
        <w:rPr>
          <w:rFonts w:asciiTheme="majorHAnsi" w:eastAsia="Times New Roman" w:hAnsiTheme="majorHAnsi" w:cstheme="majorHAnsi"/>
          <w:lang w:val="pl-PL" w:eastAsia="pl-PL"/>
        </w:rPr>
      </w:pPr>
      <w:r w:rsidRPr="007A32DE">
        <w:rPr>
          <w:rFonts w:asciiTheme="majorHAnsi" w:eastAsia="Times New Roman" w:hAnsiTheme="majorHAnsi" w:cstheme="majorHAnsi"/>
          <w:lang w:val="pl-PL" w:eastAsia="pl-PL"/>
        </w:rPr>
        <w:t>łącznie zwanymi dalej „Stronami”, a osobno „Stroną”.</w:t>
      </w:r>
    </w:p>
    <w:p w14:paraId="066998C1" w14:textId="70988148" w:rsidR="007A32DE" w:rsidRDefault="007A32DE" w:rsidP="00DC6BF9">
      <w:pPr>
        <w:spacing w:after="0" w:line="360" w:lineRule="auto"/>
        <w:rPr>
          <w:rFonts w:asciiTheme="majorHAnsi" w:eastAsia="Times New Roman" w:hAnsiTheme="majorHAnsi" w:cstheme="majorHAnsi"/>
          <w:lang w:val="pl-PL" w:eastAsia="pl-PL"/>
        </w:rPr>
      </w:pPr>
    </w:p>
    <w:p w14:paraId="263703D5" w14:textId="77777777" w:rsidR="00DC6BF9" w:rsidRPr="007A32DE" w:rsidRDefault="00DC6BF9" w:rsidP="00DC6BF9">
      <w:pPr>
        <w:spacing w:after="0" w:line="360" w:lineRule="auto"/>
        <w:rPr>
          <w:rFonts w:asciiTheme="majorHAnsi" w:eastAsia="Times New Roman" w:hAnsiTheme="majorHAnsi" w:cstheme="majorHAnsi"/>
          <w:lang w:val="pl-PL" w:eastAsia="pl-PL"/>
        </w:rPr>
      </w:pPr>
    </w:p>
    <w:p w14:paraId="1C15D754" w14:textId="77777777" w:rsidR="007A32DE" w:rsidRPr="007A32DE" w:rsidRDefault="007A32DE" w:rsidP="00DC6BF9">
      <w:pPr>
        <w:spacing w:before="100" w:beforeAutospacing="1" w:after="100" w:afterAutospacing="1" w:line="360" w:lineRule="auto"/>
        <w:jc w:val="center"/>
        <w:outlineLvl w:val="2"/>
        <w:rPr>
          <w:rFonts w:asciiTheme="majorHAnsi" w:eastAsia="Times New Roman" w:hAnsiTheme="majorHAnsi" w:cstheme="majorHAnsi"/>
          <w:lang w:val="pl-PL" w:eastAsia="pl-PL"/>
        </w:rPr>
      </w:pPr>
      <w:r w:rsidRPr="007A32DE">
        <w:rPr>
          <w:rFonts w:asciiTheme="majorHAnsi" w:eastAsia="Times New Roman" w:hAnsiTheme="majorHAnsi" w:cstheme="majorHAnsi"/>
          <w:lang w:val="pl-PL" w:eastAsia="pl-PL"/>
        </w:rPr>
        <w:lastRenderedPageBreak/>
        <w:t>§1. Przedmiot Umowy</w:t>
      </w:r>
    </w:p>
    <w:p w14:paraId="0CF27DFC" w14:textId="4953533B" w:rsidR="007A32DE" w:rsidRPr="00E71609" w:rsidRDefault="5A0F3A04" w:rsidP="5A0F3A04">
      <w:pPr>
        <w:numPr>
          <w:ilvl w:val="0"/>
          <w:numId w:val="11"/>
        </w:numPr>
        <w:spacing w:beforeAutospacing="1" w:afterAutospacing="1" w:line="360" w:lineRule="auto"/>
        <w:rPr>
          <w:rFonts w:asciiTheme="majorHAnsi" w:eastAsia="Times New Roman" w:hAnsiTheme="majorHAnsi" w:cstheme="majorBidi"/>
          <w:lang w:val="pl-PL" w:eastAsia="pl-PL"/>
        </w:rPr>
      </w:pPr>
      <w:r w:rsidRPr="5A0F3A04">
        <w:rPr>
          <w:rFonts w:asciiTheme="majorHAnsi" w:eastAsia="Times New Roman" w:hAnsiTheme="majorHAnsi" w:cstheme="majorBidi"/>
          <w:lang w:val="pl-PL" w:eastAsia="pl-PL"/>
        </w:rPr>
        <w:t>Przedmiotem niniejszej Umowy jest zakup, dostarczenie oraz nadzór nad montażem płyt warstwowych z rdzeniem PIR (lub równoważnym PUR) o podwyższonej grubości 160 mm, zgodnych z wymaganiami określonymi w Zapytaniu ofertowym nr 01/</w:t>
      </w:r>
      <w:r w:rsidRPr="5A0F3A04">
        <w:rPr>
          <w:rFonts w:asciiTheme="majorHAnsi" w:eastAsia="Times New Roman" w:hAnsiTheme="majorHAnsi" w:cstheme="majorBidi"/>
          <w:lang w:val="pl-PL" w:eastAsia="pl-PL"/>
        </w:rPr>
        <w:t>12</w:t>
      </w:r>
      <w:r w:rsidRPr="5A0F3A04">
        <w:rPr>
          <w:rFonts w:asciiTheme="majorHAnsi" w:eastAsia="Times New Roman" w:hAnsiTheme="majorHAnsi" w:cstheme="majorBidi"/>
          <w:lang w:val="pl-PL" w:eastAsia="pl-PL"/>
        </w:rPr>
        <w:t xml:space="preserve">/2025 z </w:t>
      </w:r>
      <w:r w:rsidRPr="00E71609">
        <w:rPr>
          <w:rFonts w:asciiTheme="majorHAnsi" w:eastAsia="Times New Roman" w:hAnsiTheme="majorHAnsi" w:cstheme="majorBidi"/>
          <w:lang w:val="pl-PL" w:eastAsia="pl-PL"/>
        </w:rPr>
        <w:t xml:space="preserve">dnia </w:t>
      </w:r>
      <w:r w:rsidRPr="00E71609">
        <w:rPr>
          <w:rFonts w:asciiTheme="majorHAnsi" w:eastAsia="Times New Roman" w:hAnsiTheme="majorHAnsi" w:cstheme="majorBidi"/>
          <w:lang w:val="pl-PL" w:eastAsia="pl-PL"/>
        </w:rPr>
        <w:t>16</w:t>
      </w:r>
      <w:r w:rsidRPr="00E71609">
        <w:rPr>
          <w:rFonts w:asciiTheme="majorHAnsi" w:eastAsia="Times New Roman" w:hAnsiTheme="majorHAnsi" w:cstheme="majorBidi"/>
          <w:lang w:val="pl-PL" w:eastAsia="pl-PL"/>
        </w:rPr>
        <w:t xml:space="preserve"> </w:t>
      </w:r>
      <w:r w:rsidRPr="00E71609">
        <w:rPr>
          <w:rFonts w:asciiTheme="majorHAnsi" w:eastAsia="Times New Roman" w:hAnsiTheme="majorHAnsi" w:cstheme="majorBidi"/>
          <w:lang w:val="pl-PL" w:eastAsia="pl-PL"/>
        </w:rPr>
        <w:t>grudnia</w:t>
      </w:r>
      <w:r w:rsidRPr="00E71609">
        <w:rPr>
          <w:rFonts w:asciiTheme="majorHAnsi" w:eastAsia="Times New Roman" w:hAnsiTheme="majorHAnsi" w:cstheme="majorBidi"/>
          <w:lang w:val="pl-PL" w:eastAsia="pl-PL"/>
        </w:rPr>
        <w:t xml:space="preserve"> 2025 r. oraz ofertą Wykonawcy z dnia ……………………………</w:t>
      </w:r>
    </w:p>
    <w:p w14:paraId="4DD7DAD1" w14:textId="77777777" w:rsidR="007A32DE" w:rsidRPr="00E71609" w:rsidRDefault="007A32DE" w:rsidP="00DC6BF9">
      <w:pPr>
        <w:numPr>
          <w:ilvl w:val="0"/>
          <w:numId w:val="11"/>
        </w:numPr>
        <w:spacing w:before="100" w:beforeAutospacing="1" w:after="100" w:afterAutospacing="1" w:line="360" w:lineRule="auto"/>
        <w:rPr>
          <w:rFonts w:asciiTheme="majorHAnsi" w:eastAsia="Times New Roman" w:hAnsiTheme="majorHAnsi" w:cstheme="majorHAnsi"/>
          <w:lang w:val="pl-PL" w:eastAsia="pl-PL"/>
        </w:rPr>
      </w:pPr>
      <w:r w:rsidRPr="00E71609">
        <w:rPr>
          <w:rFonts w:asciiTheme="majorHAnsi" w:eastAsia="Times New Roman" w:hAnsiTheme="majorHAnsi" w:cstheme="majorHAnsi"/>
          <w:lang w:val="pl-PL" w:eastAsia="pl-PL"/>
        </w:rPr>
        <w:t>Szczegółowy opis przedmiotu zamówienia określa Opis Przedmiotu Zamówienia (OPZ) zawarty w zapytaniu ofertowym oraz stanowiący integralny Załącznik nr 1 do niniejszej Umowy.</w:t>
      </w:r>
    </w:p>
    <w:p w14:paraId="6CF250D6" w14:textId="77777777" w:rsidR="007A32DE" w:rsidRPr="007A32DE" w:rsidRDefault="007A32DE" w:rsidP="00DC6BF9">
      <w:pPr>
        <w:numPr>
          <w:ilvl w:val="0"/>
          <w:numId w:val="11"/>
        </w:numPr>
        <w:spacing w:before="100" w:beforeAutospacing="1" w:after="100" w:afterAutospacing="1" w:line="360" w:lineRule="auto"/>
        <w:rPr>
          <w:rFonts w:asciiTheme="majorHAnsi" w:eastAsia="Times New Roman" w:hAnsiTheme="majorHAnsi" w:cstheme="majorHAnsi"/>
          <w:lang w:val="pl-PL" w:eastAsia="pl-PL"/>
        </w:rPr>
      </w:pPr>
      <w:r w:rsidRPr="007A32DE">
        <w:rPr>
          <w:rFonts w:asciiTheme="majorHAnsi" w:eastAsia="Times New Roman" w:hAnsiTheme="majorHAnsi" w:cstheme="majorHAnsi"/>
          <w:lang w:val="pl-PL" w:eastAsia="pl-PL"/>
        </w:rPr>
        <w:t>Wykonawca oświadcza, że posiada niezbędne doświadczenie, zaplecze techniczne i kadrowe do prawidłowej realizacji Umowy.</w:t>
      </w:r>
    </w:p>
    <w:p w14:paraId="27142039" w14:textId="440340D6" w:rsidR="007A32DE" w:rsidRPr="007A32DE" w:rsidRDefault="007A32DE" w:rsidP="00DC6BF9">
      <w:pPr>
        <w:spacing w:after="0" w:line="360" w:lineRule="auto"/>
        <w:rPr>
          <w:rFonts w:asciiTheme="majorHAnsi" w:eastAsia="Times New Roman" w:hAnsiTheme="majorHAnsi" w:cstheme="majorHAnsi"/>
          <w:lang w:val="pl-PL" w:eastAsia="pl-PL"/>
        </w:rPr>
      </w:pPr>
    </w:p>
    <w:p w14:paraId="4A24F58F" w14:textId="77777777" w:rsidR="007A32DE" w:rsidRPr="007A32DE" w:rsidRDefault="007A32DE" w:rsidP="00DC6BF9">
      <w:pPr>
        <w:spacing w:before="100" w:beforeAutospacing="1" w:after="100" w:afterAutospacing="1" w:line="360" w:lineRule="auto"/>
        <w:jc w:val="center"/>
        <w:outlineLvl w:val="2"/>
        <w:rPr>
          <w:rFonts w:asciiTheme="majorHAnsi" w:eastAsia="Times New Roman" w:hAnsiTheme="majorHAnsi" w:cstheme="majorHAnsi"/>
          <w:lang w:val="pl-PL" w:eastAsia="pl-PL"/>
        </w:rPr>
      </w:pPr>
      <w:r w:rsidRPr="007A32DE">
        <w:rPr>
          <w:rFonts w:asciiTheme="majorHAnsi" w:eastAsia="Times New Roman" w:hAnsiTheme="majorHAnsi" w:cstheme="majorHAnsi"/>
          <w:lang w:val="pl-PL" w:eastAsia="pl-PL"/>
        </w:rPr>
        <w:t>§2. Zakres i miejsce realizacji</w:t>
      </w:r>
    </w:p>
    <w:p w14:paraId="06ED5A66" w14:textId="77777777" w:rsidR="007A32DE" w:rsidRPr="007A32DE" w:rsidRDefault="007A32DE" w:rsidP="00DC6BF9">
      <w:pPr>
        <w:numPr>
          <w:ilvl w:val="0"/>
          <w:numId w:val="12"/>
        </w:numPr>
        <w:spacing w:before="100" w:beforeAutospacing="1" w:after="100" w:afterAutospacing="1" w:line="360" w:lineRule="auto"/>
        <w:rPr>
          <w:rFonts w:asciiTheme="majorHAnsi" w:eastAsia="Times New Roman" w:hAnsiTheme="majorHAnsi" w:cstheme="majorHAnsi"/>
          <w:lang w:val="pl-PL" w:eastAsia="pl-PL"/>
        </w:rPr>
      </w:pPr>
      <w:r w:rsidRPr="007A32DE">
        <w:rPr>
          <w:rFonts w:asciiTheme="majorHAnsi" w:eastAsia="Times New Roman" w:hAnsiTheme="majorHAnsi" w:cstheme="majorHAnsi"/>
          <w:lang w:val="pl-PL" w:eastAsia="pl-PL"/>
        </w:rPr>
        <w:t>Zakres Umowy obejmuje:</w:t>
      </w:r>
    </w:p>
    <w:p w14:paraId="5AB1C0A9" w14:textId="77777777" w:rsidR="007A32DE" w:rsidRPr="007A32DE" w:rsidRDefault="007A32DE" w:rsidP="00DC6BF9">
      <w:pPr>
        <w:numPr>
          <w:ilvl w:val="1"/>
          <w:numId w:val="12"/>
        </w:numPr>
        <w:spacing w:before="100" w:beforeAutospacing="1" w:after="100" w:afterAutospacing="1" w:line="360" w:lineRule="auto"/>
        <w:rPr>
          <w:rFonts w:asciiTheme="majorHAnsi" w:eastAsia="Times New Roman" w:hAnsiTheme="majorHAnsi" w:cstheme="majorHAnsi"/>
          <w:lang w:val="pl-PL" w:eastAsia="pl-PL"/>
        </w:rPr>
      </w:pPr>
      <w:r w:rsidRPr="007A32DE">
        <w:rPr>
          <w:rFonts w:asciiTheme="majorHAnsi" w:eastAsia="Times New Roman" w:hAnsiTheme="majorHAnsi" w:cstheme="majorHAnsi"/>
          <w:lang w:val="pl-PL" w:eastAsia="pl-PL"/>
        </w:rPr>
        <w:t>produkcję lub zakup płyt warstwowych z rdzeniem PIR (lub równoważnym PUR),</w:t>
      </w:r>
    </w:p>
    <w:p w14:paraId="703909C7" w14:textId="77777777" w:rsidR="007A32DE" w:rsidRPr="007A32DE" w:rsidRDefault="007A32DE" w:rsidP="00DC6BF9">
      <w:pPr>
        <w:numPr>
          <w:ilvl w:val="1"/>
          <w:numId w:val="12"/>
        </w:numPr>
        <w:spacing w:before="100" w:beforeAutospacing="1" w:after="100" w:afterAutospacing="1" w:line="360" w:lineRule="auto"/>
        <w:rPr>
          <w:rFonts w:asciiTheme="majorHAnsi" w:eastAsia="Times New Roman" w:hAnsiTheme="majorHAnsi" w:cstheme="majorHAnsi"/>
          <w:lang w:val="pl-PL" w:eastAsia="pl-PL"/>
        </w:rPr>
      </w:pPr>
      <w:r w:rsidRPr="007A32DE">
        <w:rPr>
          <w:rFonts w:asciiTheme="majorHAnsi" w:eastAsia="Times New Roman" w:hAnsiTheme="majorHAnsi" w:cstheme="majorHAnsi"/>
          <w:lang w:val="pl-PL" w:eastAsia="pl-PL"/>
        </w:rPr>
        <w:t>dostawę i rozładunek na miejscu inwestycji,</w:t>
      </w:r>
    </w:p>
    <w:p w14:paraId="57391732" w14:textId="77777777" w:rsidR="007A32DE" w:rsidRPr="007A32DE" w:rsidRDefault="007A32DE" w:rsidP="00DC6BF9">
      <w:pPr>
        <w:numPr>
          <w:ilvl w:val="1"/>
          <w:numId w:val="12"/>
        </w:numPr>
        <w:spacing w:before="100" w:beforeAutospacing="1" w:after="100" w:afterAutospacing="1" w:line="360" w:lineRule="auto"/>
        <w:rPr>
          <w:rFonts w:asciiTheme="majorHAnsi" w:eastAsia="Times New Roman" w:hAnsiTheme="majorHAnsi" w:cstheme="majorHAnsi"/>
          <w:lang w:val="pl-PL" w:eastAsia="pl-PL"/>
        </w:rPr>
      </w:pPr>
      <w:r w:rsidRPr="007A32DE">
        <w:rPr>
          <w:rFonts w:asciiTheme="majorHAnsi" w:eastAsia="Times New Roman" w:hAnsiTheme="majorHAnsi" w:cstheme="majorHAnsi"/>
          <w:lang w:val="pl-PL" w:eastAsia="pl-PL"/>
        </w:rPr>
        <w:t>nadzór nad montażem płyt przez wskazanego Inżyniera Nadzoru Montażu.</w:t>
      </w:r>
    </w:p>
    <w:p w14:paraId="443BB567" w14:textId="77777777" w:rsidR="007A32DE" w:rsidRPr="007A32DE" w:rsidRDefault="007A32DE" w:rsidP="00DC6BF9">
      <w:pPr>
        <w:numPr>
          <w:ilvl w:val="0"/>
          <w:numId w:val="12"/>
        </w:numPr>
        <w:spacing w:before="100" w:beforeAutospacing="1" w:after="100" w:afterAutospacing="1" w:line="360" w:lineRule="auto"/>
        <w:rPr>
          <w:rFonts w:asciiTheme="majorHAnsi" w:eastAsia="Times New Roman" w:hAnsiTheme="majorHAnsi" w:cstheme="majorHAnsi"/>
          <w:lang w:val="pl-PL" w:eastAsia="pl-PL"/>
        </w:rPr>
      </w:pPr>
      <w:r w:rsidRPr="007A32DE">
        <w:rPr>
          <w:rFonts w:asciiTheme="majorHAnsi" w:eastAsia="Times New Roman" w:hAnsiTheme="majorHAnsi" w:cstheme="majorHAnsi"/>
          <w:lang w:val="pl-PL" w:eastAsia="pl-PL"/>
        </w:rPr>
        <w:t>Miejsce dostawy: Henryków Urocze, działka nr 209/25.</w:t>
      </w:r>
    </w:p>
    <w:p w14:paraId="41AAFAE6" w14:textId="10526EBE" w:rsidR="007A32DE" w:rsidRDefault="414E4CEC" w:rsidP="414E4CEC">
      <w:pPr>
        <w:numPr>
          <w:ilvl w:val="0"/>
          <w:numId w:val="12"/>
        </w:numPr>
        <w:spacing w:before="100" w:beforeAutospacing="1" w:after="100" w:afterAutospacing="1" w:line="360" w:lineRule="auto"/>
        <w:rPr>
          <w:rFonts w:asciiTheme="majorHAnsi" w:eastAsia="Times New Roman" w:hAnsiTheme="majorHAnsi" w:cstheme="majorBidi"/>
          <w:lang w:val="pl-PL" w:eastAsia="pl-PL"/>
        </w:rPr>
      </w:pPr>
      <w:r w:rsidRPr="414E4CEC">
        <w:rPr>
          <w:rFonts w:asciiTheme="majorHAnsi" w:eastAsia="Times New Roman" w:hAnsiTheme="majorHAnsi" w:cstheme="majorBidi"/>
          <w:lang w:val="pl-PL" w:eastAsia="pl-PL"/>
        </w:rPr>
        <w:t xml:space="preserve">Całkowita ilość płyt: </w:t>
      </w:r>
      <w:r w:rsidRPr="414E4CEC">
        <w:rPr>
          <w:rFonts w:asciiTheme="majorHAnsi" w:eastAsia="Times New Roman" w:hAnsiTheme="majorHAnsi" w:cstheme="majorBidi"/>
          <w:lang w:val="pl-PL" w:eastAsia="pl-PL"/>
        </w:rPr>
        <w:t xml:space="preserve">ok. 2420 </w:t>
      </w:r>
      <w:r w:rsidRPr="414E4CEC">
        <w:rPr>
          <w:rFonts w:asciiTheme="majorHAnsi" w:eastAsia="Times New Roman" w:hAnsiTheme="majorHAnsi" w:cstheme="majorBidi"/>
          <w:lang w:val="pl-PL" w:eastAsia="pl-PL"/>
        </w:rPr>
        <w:t xml:space="preserve"> m² </w:t>
      </w:r>
      <w:r w:rsidRPr="414E4CEC">
        <w:rPr>
          <w:rFonts w:asciiTheme="majorHAnsi" w:eastAsia="Times New Roman" w:hAnsiTheme="majorHAnsi" w:cstheme="majorBidi"/>
          <w:lang w:val="pl-PL" w:eastAsia="pl-PL"/>
        </w:rPr>
        <w:t>na poszycie dachowe oraz 1130 m² na poszycie ścian zewnętrznych</w:t>
      </w:r>
      <w:r w:rsidR="00FA768D">
        <w:rPr>
          <w:rFonts w:asciiTheme="majorHAnsi" w:eastAsia="Times New Roman" w:hAnsiTheme="majorHAnsi" w:cstheme="majorBidi"/>
          <w:lang w:val="pl-PL" w:eastAsia="pl-PL"/>
        </w:rPr>
        <w:t xml:space="preserve"> </w:t>
      </w:r>
      <w:r w:rsidRPr="414E4CEC">
        <w:rPr>
          <w:rFonts w:asciiTheme="majorHAnsi" w:eastAsia="Times New Roman" w:hAnsiTheme="majorHAnsi" w:cstheme="majorBidi"/>
          <w:lang w:val="pl-PL" w:eastAsia="pl-PL"/>
        </w:rPr>
        <w:t>(z dokładnością do ±2%).</w:t>
      </w:r>
    </w:p>
    <w:p w14:paraId="5A91F85D" w14:textId="7A2C9C52" w:rsidR="0066122F" w:rsidRPr="0066122F" w:rsidRDefault="0066122F" w:rsidP="0066122F">
      <w:pPr>
        <w:numPr>
          <w:ilvl w:val="0"/>
          <w:numId w:val="12"/>
        </w:numPr>
        <w:spacing w:before="100" w:beforeAutospacing="1" w:after="100" w:afterAutospacing="1" w:line="360" w:lineRule="auto"/>
        <w:rPr>
          <w:rFonts w:asciiTheme="majorHAnsi" w:eastAsia="Times New Roman" w:hAnsiTheme="majorHAnsi" w:cstheme="majorHAnsi"/>
          <w:lang w:val="pl-PL" w:eastAsia="pl-PL"/>
        </w:rPr>
      </w:pPr>
      <w:r w:rsidRPr="0066122F">
        <w:rPr>
          <w:rFonts w:asciiTheme="majorHAnsi" w:eastAsia="Times New Roman" w:hAnsiTheme="majorHAnsi" w:cstheme="majorHAnsi"/>
          <w:lang w:val="pl-PL" w:eastAsia="pl-PL"/>
        </w:rPr>
        <w:t>Wykonawca zapewni Inżyniera Nadzoru Montażu (INM). Nadzór obejmuje co najmniej: przegląd dokumentacji i planu montażu, szkolenie ekipy z technologii producenta, wyznaczenie punktów kontrolnych, odbiory częściowe i końcowy, sporządzanie protokołów i raportu końcowego.</w:t>
      </w:r>
    </w:p>
    <w:p w14:paraId="586651E8" w14:textId="373A92C3" w:rsidR="0066122F" w:rsidRPr="0066122F" w:rsidRDefault="414E4CEC" w:rsidP="414E4CEC">
      <w:pPr>
        <w:numPr>
          <w:ilvl w:val="0"/>
          <w:numId w:val="12"/>
        </w:numPr>
        <w:spacing w:before="100" w:beforeAutospacing="1" w:after="100" w:afterAutospacing="1" w:line="360" w:lineRule="auto"/>
        <w:rPr>
          <w:rFonts w:asciiTheme="majorHAnsi" w:eastAsia="Times New Roman" w:hAnsiTheme="majorHAnsi" w:cstheme="majorBidi"/>
          <w:lang w:val="pl-PL" w:eastAsia="pl-PL"/>
        </w:rPr>
      </w:pPr>
      <w:r w:rsidRPr="414E4CEC">
        <w:rPr>
          <w:rFonts w:asciiTheme="majorHAnsi" w:eastAsia="Times New Roman" w:hAnsiTheme="majorHAnsi" w:cstheme="majorBidi"/>
          <w:lang w:val="pl-PL" w:eastAsia="pl-PL"/>
        </w:rPr>
        <w:t>Minimalne punkty kontrolne: pierwsza płyta, 50% postępu, przed zakryciem elementów, odbiór końcowy.</w:t>
      </w:r>
    </w:p>
    <w:p w14:paraId="00144102" w14:textId="68610A25" w:rsidR="0066122F" w:rsidRPr="007A32DE" w:rsidRDefault="0066122F" w:rsidP="0066122F">
      <w:pPr>
        <w:numPr>
          <w:ilvl w:val="0"/>
          <w:numId w:val="12"/>
        </w:numPr>
        <w:spacing w:before="100" w:beforeAutospacing="1" w:after="100" w:afterAutospacing="1" w:line="360" w:lineRule="auto"/>
        <w:rPr>
          <w:rFonts w:asciiTheme="majorHAnsi" w:eastAsia="Times New Roman" w:hAnsiTheme="majorHAnsi" w:cstheme="majorHAnsi"/>
          <w:lang w:val="pl-PL" w:eastAsia="pl-PL"/>
        </w:rPr>
      </w:pPr>
      <w:r w:rsidRPr="0066122F">
        <w:rPr>
          <w:rFonts w:asciiTheme="majorHAnsi" w:eastAsia="Times New Roman" w:hAnsiTheme="majorHAnsi" w:cstheme="majorHAnsi"/>
          <w:lang w:val="pl-PL" w:eastAsia="pl-PL"/>
        </w:rPr>
        <w:lastRenderedPageBreak/>
        <w:t>INM jest uprawniony do wstrzymania robót w przypadku stwierdzenia istotnych niezgodności z dokumentacją lub instrukcjami producenta — z niezwłocznym powiadomieniem Stron.</w:t>
      </w:r>
    </w:p>
    <w:p w14:paraId="57681229" w14:textId="72AEA62E" w:rsidR="007A32DE" w:rsidRPr="007A32DE" w:rsidRDefault="007A32DE" w:rsidP="00DC6BF9">
      <w:pPr>
        <w:spacing w:after="0" w:line="360" w:lineRule="auto"/>
        <w:rPr>
          <w:rFonts w:asciiTheme="majorHAnsi" w:eastAsia="Times New Roman" w:hAnsiTheme="majorHAnsi" w:cstheme="majorHAnsi"/>
          <w:lang w:val="pl-PL" w:eastAsia="pl-PL"/>
        </w:rPr>
      </w:pPr>
    </w:p>
    <w:p w14:paraId="4E8D891C" w14:textId="77777777" w:rsidR="007A32DE" w:rsidRPr="007A32DE" w:rsidRDefault="007A32DE" w:rsidP="00DC6BF9">
      <w:pPr>
        <w:spacing w:before="100" w:beforeAutospacing="1" w:after="100" w:afterAutospacing="1" w:line="360" w:lineRule="auto"/>
        <w:jc w:val="center"/>
        <w:outlineLvl w:val="2"/>
        <w:rPr>
          <w:rFonts w:asciiTheme="majorHAnsi" w:eastAsia="Times New Roman" w:hAnsiTheme="majorHAnsi" w:cstheme="majorHAnsi"/>
          <w:lang w:val="pl-PL" w:eastAsia="pl-PL"/>
        </w:rPr>
      </w:pPr>
      <w:r w:rsidRPr="007A32DE">
        <w:rPr>
          <w:rFonts w:asciiTheme="majorHAnsi" w:eastAsia="Times New Roman" w:hAnsiTheme="majorHAnsi" w:cstheme="majorHAnsi"/>
          <w:lang w:val="pl-PL" w:eastAsia="pl-PL"/>
        </w:rPr>
        <w:t>§3. Termin realizacji</w:t>
      </w:r>
    </w:p>
    <w:p w14:paraId="26D1C553" w14:textId="3D08C280" w:rsidR="007A32DE" w:rsidRPr="007A32DE" w:rsidRDefault="007A32DE" w:rsidP="00DC6BF9">
      <w:pPr>
        <w:numPr>
          <w:ilvl w:val="0"/>
          <w:numId w:val="13"/>
        </w:numPr>
        <w:spacing w:before="100" w:beforeAutospacing="1" w:after="100" w:afterAutospacing="1" w:line="360" w:lineRule="auto"/>
        <w:rPr>
          <w:rFonts w:asciiTheme="majorHAnsi" w:eastAsia="Times New Roman" w:hAnsiTheme="majorHAnsi" w:cstheme="majorHAnsi"/>
          <w:lang w:val="pl-PL" w:eastAsia="pl-PL"/>
        </w:rPr>
      </w:pPr>
      <w:r w:rsidRPr="007A32DE">
        <w:rPr>
          <w:rFonts w:asciiTheme="majorHAnsi" w:eastAsia="Times New Roman" w:hAnsiTheme="majorHAnsi" w:cstheme="majorHAnsi"/>
          <w:lang w:val="pl-PL" w:eastAsia="pl-PL"/>
        </w:rPr>
        <w:t xml:space="preserve">Termin realizacji zamówienia: </w:t>
      </w:r>
      <w:r w:rsidR="0017213C">
        <w:rPr>
          <w:rFonts w:asciiTheme="majorHAnsi" w:eastAsia="Times New Roman" w:hAnsiTheme="majorHAnsi" w:cstheme="majorHAnsi"/>
          <w:lang w:val="pl-PL" w:eastAsia="pl-PL"/>
        </w:rPr>
        <w:t>….</w:t>
      </w:r>
      <w:r w:rsidRPr="007A32DE">
        <w:rPr>
          <w:rFonts w:asciiTheme="majorHAnsi" w:eastAsia="Times New Roman" w:hAnsiTheme="majorHAnsi" w:cstheme="majorHAnsi"/>
          <w:lang w:val="pl-PL" w:eastAsia="pl-PL"/>
        </w:rPr>
        <w:t>2026 r.</w:t>
      </w:r>
    </w:p>
    <w:p w14:paraId="489E9861" w14:textId="2B5DA8CD" w:rsidR="00915913" w:rsidRPr="00915913" w:rsidRDefault="5A0F3A04" w:rsidP="5A0F3A04">
      <w:pPr>
        <w:numPr>
          <w:ilvl w:val="0"/>
          <w:numId w:val="13"/>
        </w:numPr>
        <w:spacing w:before="100" w:beforeAutospacing="1" w:after="100" w:afterAutospacing="1" w:line="360" w:lineRule="auto"/>
        <w:rPr>
          <w:rFonts w:asciiTheme="majorHAnsi" w:eastAsia="Times New Roman" w:hAnsiTheme="majorHAnsi" w:cstheme="majorBidi"/>
          <w:lang w:val="pl-PL" w:eastAsia="pl-PL"/>
        </w:rPr>
      </w:pPr>
      <w:r w:rsidRPr="5A0F3A04">
        <w:rPr>
          <w:rFonts w:asciiTheme="majorHAnsi" w:eastAsia="Times New Roman" w:hAnsiTheme="majorHAnsi" w:cstheme="majorBidi"/>
          <w:lang w:val="pl-PL" w:eastAsia="pl-PL"/>
        </w:rPr>
        <w:t xml:space="preserve">Termin dostawy: do </w:t>
      </w:r>
      <w:r w:rsidRPr="5A0F3A04">
        <w:rPr>
          <w:rFonts w:asciiTheme="majorHAnsi" w:eastAsia="Times New Roman" w:hAnsiTheme="majorHAnsi" w:cstheme="majorBidi"/>
          <w:lang w:val="pl-PL" w:eastAsia="pl-PL"/>
        </w:rPr>
        <w:t>3</w:t>
      </w:r>
      <w:r w:rsidRPr="5A0F3A04">
        <w:rPr>
          <w:rFonts w:asciiTheme="majorHAnsi" w:eastAsia="Times New Roman" w:hAnsiTheme="majorHAnsi" w:cstheme="majorBidi"/>
          <w:lang w:val="pl-PL" w:eastAsia="pl-PL"/>
        </w:rPr>
        <w:t>0 dni kalendarzowych od dnia podpisania Umowy.</w:t>
      </w:r>
    </w:p>
    <w:p w14:paraId="20474B14" w14:textId="77777777" w:rsidR="007039D7" w:rsidRDefault="00CC0BB3" w:rsidP="00DC6BF9">
      <w:pPr>
        <w:numPr>
          <w:ilvl w:val="0"/>
          <w:numId w:val="13"/>
        </w:numPr>
        <w:spacing w:before="100" w:beforeAutospacing="1" w:after="100" w:afterAutospacing="1" w:line="360" w:lineRule="auto"/>
        <w:rPr>
          <w:rFonts w:asciiTheme="majorHAnsi" w:eastAsia="Times New Roman" w:hAnsiTheme="majorHAnsi" w:cstheme="majorHAnsi"/>
          <w:lang w:val="pl-PL" w:eastAsia="pl-PL"/>
        </w:rPr>
      </w:pPr>
      <w:r w:rsidRPr="00915913">
        <w:rPr>
          <w:rFonts w:asciiTheme="majorHAnsi" w:eastAsia="Times New Roman" w:hAnsiTheme="majorHAnsi" w:cstheme="majorHAnsi"/>
          <w:lang w:val="pl-PL" w:eastAsia="pl-PL"/>
        </w:rPr>
        <w:t>Termin zakończenia nadzoru montażu: do 60 dni kalendarzowych od dnia dokonania dostawy</w:t>
      </w:r>
      <w:r w:rsidR="007039D7">
        <w:rPr>
          <w:rFonts w:asciiTheme="majorHAnsi" w:eastAsia="Times New Roman" w:hAnsiTheme="majorHAnsi" w:cstheme="majorHAnsi"/>
          <w:lang w:val="pl-PL" w:eastAsia="pl-PL"/>
        </w:rPr>
        <w:t>.</w:t>
      </w:r>
    </w:p>
    <w:p w14:paraId="6A88C906" w14:textId="4CC643A9" w:rsidR="007A32DE" w:rsidRPr="007039D7" w:rsidRDefault="00CC0BB3" w:rsidP="007039D7">
      <w:pPr>
        <w:numPr>
          <w:ilvl w:val="0"/>
          <w:numId w:val="13"/>
        </w:numPr>
        <w:spacing w:before="100" w:beforeAutospacing="1" w:after="100" w:afterAutospacing="1" w:line="360" w:lineRule="auto"/>
        <w:rPr>
          <w:rFonts w:asciiTheme="majorHAnsi" w:eastAsia="Times New Roman" w:hAnsiTheme="majorHAnsi" w:cstheme="majorHAnsi"/>
          <w:lang w:val="pl-PL" w:eastAsia="pl-PL"/>
        </w:rPr>
      </w:pPr>
      <w:r w:rsidRPr="00915913">
        <w:rPr>
          <w:rFonts w:asciiTheme="majorHAnsi" w:eastAsia="Times New Roman" w:hAnsiTheme="majorHAnsi" w:cstheme="majorHAnsi"/>
          <w:lang w:val="pl-PL" w:eastAsia="pl-PL"/>
        </w:rPr>
        <w:t>Wykonawca niezwłocznie informuje o okolicznościach mogących wpłynąć na terminy z ust. 2–3 oraz przedstawia propozycję działań korygujących.</w:t>
      </w:r>
    </w:p>
    <w:p w14:paraId="1C94E996" w14:textId="77777777" w:rsidR="007A32DE" w:rsidRPr="007A32DE" w:rsidRDefault="007A32DE" w:rsidP="00DC6BF9">
      <w:pPr>
        <w:spacing w:before="100" w:beforeAutospacing="1" w:after="100" w:afterAutospacing="1" w:line="360" w:lineRule="auto"/>
        <w:jc w:val="center"/>
        <w:outlineLvl w:val="2"/>
        <w:rPr>
          <w:rFonts w:asciiTheme="majorHAnsi" w:eastAsia="Times New Roman" w:hAnsiTheme="majorHAnsi" w:cstheme="majorHAnsi"/>
          <w:lang w:val="pl-PL" w:eastAsia="pl-PL"/>
        </w:rPr>
      </w:pPr>
      <w:r w:rsidRPr="007A32DE">
        <w:rPr>
          <w:rFonts w:asciiTheme="majorHAnsi" w:eastAsia="Times New Roman" w:hAnsiTheme="majorHAnsi" w:cstheme="majorHAnsi"/>
          <w:lang w:val="pl-PL" w:eastAsia="pl-PL"/>
        </w:rPr>
        <w:t>§4. Wynagrodzenie i warunki płatności</w:t>
      </w:r>
    </w:p>
    <w:p w14:paraId="17D1E361" w14:textId="77777777" w:rsidR="007A32DE" w:rsidRPr="007A32DE" w:rsidRDefault="007A32DE" w:rsidP="00DC6BF9">
      <w:pPr>
        <w:numPr>
          <w:ilvl w:val="0"/>
          <w:numId w:val="14"/>
        </w:numPr>
        <w:spacing w:before="100" w:beforeAutospacing="1" w:after="100" w:afterAutospacing="1" w:line="360" w:lineRule="auto"/>
        <w:rPr>
          <w:rFonts w:asciiTheme="majorHAnsi" w:eastAsia="Times New Roman" w:hAnsiTheme="majorHAnsi" w:cstheme="majorHAnsi"/>
          <w:lang w:val="pl-PL" w:eastAsia="pl-PL"/>
        </w:rPr>
      </w:pPr>
      <w:r w:rsidRPr="007A32DE">
        <w:rPr>
          <w:rFonts w:asciiTheme="majorHAnsi" w:eastAsia="Times New Roman" w:hAnsiTheme="majorHAnsi" w:cstheme="majorHAnsi"/>
          <w:lang w:val="pl-PL" w:eastAsia="pl-PL"/>
        </w:rPr>
        <w:t>Strony ustalają wynagrodzenie Wykonawcy w wysokości:</w:t>
      </w:r>
      <w:r w:rsidRPr="007A32DE">
        <w:rPr>
          <w:rFonts w:asciiTheme="majorHAnsi" w:eastAsia="Times New Roman" w:hAnsiTheme="majorHAnsi" w:cstheme="majorHAnsi"/>
          <w:lang w:val="pl-PL" w:eastAsia="pl-PL"/>
        </w:rPr>
        <w:br/>
        <w:t>……………… PLN netto (słownie: …………………………………………………………),</w:t>
      </w:r>
      <w:r w:rsidRPr="007A32DE">
        <w:rPr>
          <w:rFonts w:asciiTheme="majorHAnsi" w:eastAsia="Times New Roman" w:hAnsiTheme="majorHAnsi" w:cstheme="majorHAnsi"/>
          <w:lang w:val="pl-PL" w:eastAsia="pl-PL"/>
        </w:rPr>
        <w:br/>
        <w:t>powiększone o należny podatek VAT według obowiązującej stawki.</w:t>
      </w:r>
    </w:p>
    <w:p w14:paraId="6A0CC971" w14:textId="59FDC55F" w:rsidR="007A32DE" w:rsidRPr="007A32DE" w:rsidRDefault="007A32DE" w:rsidP="00DC6BF9">
      <w:pPr>
        <w:numPr>
          <w:ilvl w:val="0"/>
          <w:numId w:val="14"/>
        </w:numPr>
        <w:spacing w:before="100" w:beforeAutospacing="1" w:after="100" w:afterAutospacing="1" w:line="360" w:lineRule="auto"/>
        <w:rPr>
          <w:rFonts w:asciiTheme="majorHAnsi" w:eastAsia="Times New Roman" w:hAnsiTheme="majorHAnsi" w:cstheme="majorHAnsi"/>
          <w:lang w:val="pl-PL" w:eastAsia="pl-PL"/>
        </w:rPr>
      </w:pPr>
      <w:r w:rsidRPr="007A32DE">
        <w:rPr>
          <w:rFonts w:asciiTheme="majorHAnsi" w:eastAsia="Times New Roman" w:hAnsiTheme="majorHAnsi" w:cstheme="majorHAnsi"/>
          <w:lang w:val="pl-PL" w:eastAsia="pl-PL"/>
        </w:rPr>
        <w:t xml:space="preserve">Podstawę płatności stanowi protokół </w:t>
      </w:r>
      <w:r w:rsidR="006660C3">
        <w:rPr>
          <w:rFonts w:asciiTheme="majorHAnsi" w:eastAsia="Times New Roman" w:hAnsiTheme="majorHAnsi" w:cstheme="majorHAnsi"/>
          <w:lang w:val="pl-PL" w:eastAsia="pl-PL"/>
        </w:rPr>
        <w:t>montażu</w:t>
      </w:r>
      <w:r w:rsidRPr="007A32DE">
        <w:rPr>
          <w:rFonts w:asciiTheme="majorHAnsi" w:eastAsia="Times New Roman" w:hAnsiTheme="majorHAnsi" w:cstheme="majorHAnsi"/>
          <w:lang w:val="pl-PL" w:eastAsia="pl-PL"/>
        </w:rPr>
        <w:t xml:space="preserve"> bez zastrzeżeń podpisany przez obie Strony.</w:t>
      </w:r>
    </w:p>
    <w:p w14:paraId="0798DFA7" w14:textId="77777777" w:rsidR="007A32DE" w:rsidRPr="007A32DE" w:rsidRDefault="007A32DE" w:rsidP="00DC6BF9">
      <w:pPr>
        <w:numPr>
          <w:ilvl w:val="0"/>
          <w:numId w:val="14"/>
        </w:numPr>
        <w:spacing w:before="100" w:beforeAutospacing="1" w:after="100" w:afterAutospacing="1" w:line="360" w:lineRule="auto"/>
        <w:rPr>
          <w:rFonts w:asciiTheme="majorHAnsi" w:eastAsia="Times New Roman" w:hAnsiTheme="majorHAnsi" w:cstheme="majorHAnsi"/>
          <w:lang w:val="pl-PL" w:eastAsia="pl-PL"/>
        </w:rPr>
      </w:pPr>
      <w:r w:rsidRPr="007A32DE">
        <w:rPr>
          <w:rFonts w:asciiTheme="majorHAnsi" w:eastAsia="Times New Roman" w:hAnsiTheme="majorHAnsi" w:cstheme="majorHAnsi"/>
          <w:lang w:val="pl-PL" w:eastAsia="pl-PL"/>
        </w:rPr>
        <w:t>Płatność nastąpi przelewem na rachunek bankowy Wykonawcy w terminie 30 dni od daty otrzymania prawidłowo wystawionej faktury VAT.</w:t>
      </w:r>
    </w:p>
    <w:p w14:paraId="451B90FA" w14:textId="750D6CF7" w:rsidR="007A32DE" w:rsidRPr="00944839" w:rsidRDefault="007A32DE" w:rsidP="00944839">
      <w:pPr>
        <w:numPr>
          <w:ilvl w:val="0"/>
          <w:numId w:val="14"/>
        </w:numPr>
        <w:spacing w:before="100" w:beforeAutospacing="1" w:after="100" w:afterAutospacing="1" w:line="360" w:lineRule="auto"/>
        <w:rPr>
          <w:rFonts w:asciiTheme="majorHAnsi" w:eastAsia="Times New Roman" w:hAnsiTheme="majorHAnsi" w:cstheme="majorHAnsi"/>
          <w:lang w:val="pl-PL" w:eastAsia="pl-PL"/>
        </w:rPr>
      </w:pPr>
      <w:r w:rsidRPr="007A32DE">
        <w:rPr>
          <w:rFonts w:asciiTheme="majorHAnsi" w:eastAsia="Times New Roman" w:hAnsiTheme="majorHAnsi" w:cstheme="majorHAnsi"/>
          <w:lang w:val="pl-PL" w:eastAsia="pl-PL"/>
        </w:rPr>
        <w:t>Wydatki poniesione w ramach niniejszej Umowy stanowią koszty kwalifikowalne projektu nr FENG.01.01-IP.01-A1E8/25 współfinansowanego ze środków Unii Europejskiej.</w:t>
      </w:r>
    </w:p>
    <w:p w14:paraId="4D95A11C" w14:textId="77777777" w:rsidR="007A32DE" w:rsidRPr="007A32DE" w:rsidRDefault="007A32DE" w:rsidP="00DC6BF9">
      <w:pPr>
        <w:spacing w:before="100" w:beforeAutospacing="1" w:after="100" w:afterAutospacing="1" w:line="360" w:lineRule="auto"/>
        <w:jc w:val="center"/>
        <w:outlineLvl w:val="2"/>
        <w:rPr>
          <w:rFonts w:asciiTheme="majorHAnsi" w:eastAsia="Times New Roman" w:hAnsiTheme="majorHAnsi" w:cstheme="majorHAnsi"/>
          <w:lang w:val="pl-PL" w:eastAsia="pl-PL"/>
        </w:rPr>
      </w:pPr>
      <w:r w:rsidRPr="007A32DE">
        <w:rPr>
          <w:rFonts w:asciiTheme="majorHAnsi" w:eastAsia="Times New Roman" w:hAnsiTheme="majorHAnsi" w:cstheme="majorHAnsi"/>
          <w:lang w:val="pl-PL" w:eastAsia="pl-PL"/>
        </w:rPr>
        <w:t>§5. Odbiór i protokół dostawy</w:t>
      </w:r>
    </w:p>
    <w:p w14:paraId="0052844B" w14:textId="77777777" w:rsidR="007A32DE" w:rsidRPr="007A32DE" w:rsidRDefault="007A32DE" w:rsidP="00DC6BF9">
      <w:pPr>
        <w:numPr>
          <w:ilvl w:val="0"/>
          <w:numId w:val="15"/>
        </w:numPr>
        <w:spacing w:before="100" w:beforeAutospacing="1" w:after="100" w:afterAutospacing="1" w:line="360" w:lineRule="auto"/>
        <w:rPr>
          <w:rFonts w:asciiTheme="majorHAnsi" w:eastAsia="Times New Roman" w:hAnsiTheme="majorHAnsi" w:cstheme="majorHAnsi"/>
          <w:lang w:val="pl-PL" w:eastAsia="pl-PL"/>
        </w:rPr>
      </w:pPr>
      <w:r w:rsidRPr="007A32DE">
        <w:rPr>
          <w:rFonts w:asciiTheme="majorHAnsi" w:eastAsia="Times New Roman" w:hAnsiTheme="majorHAnsi" w:cstheme="majorHAnsi"/>
          <w:lang w:val="pl-PL" w:eastAsia="pl-PL"/>
        </w:rPr>
        <w:t>Dostawa zostanie potwierdzona protokołem, który zawiera co najmniej:</w:t>
      </w:r>
      <w:r w:rsidRPr="007A32DE">
        <w:rPr>
          <w:rFonts w:asciiTheme="majorHAnsi" w:eastAsia="Times New Roman" w:hAnsiTheme="majorHAnsi" w:cstheme="majorHAnsi"/>
          <w:lang w:val="pl-PL" w:eastAsia="pl-PL"/>
        </w:rPr>
        <w:br/>
        <w:t>a) datę i miejsce dostawy,</w:t>
      </w:r>
      <w:r w:rsidRPr="007A32DE">
        <w:rPr>
          <w:rFonts w:asciiTheme="majorHAnsi" w:eastAsia="Times New Roman" w:hAnsiTheme="majorHAnsi" w:cstheme="majorHAnsi"/>
          <w:lang w:val="pl-PL" w:eastAsia="pl-PL"/>
        </w:rPr>
        <w:br/>
      </w:r>
      <w:r w:rsidRPr="007A32DE">
        <w:rPr>
          <w:rFonts w:asciiTheme="majorHAnsi" w:eastAsia="Times New Roman" w:hAnsiTheme="majorHAnsi" w:cstheme="majorHAnsi"/>
          <w:lang w:val="pl-PL" w:eastAsia="pl-PL"/>
        </w:rPr>
        <w:lastRenderedPageBreak/>
        <w:t>b) wykaz dostarczonych płyt (producent, typ, ilość, grubość, tablice znamionowe),</w:t>
      </w:r>
      <w:r w:rsidRPr="007A32DE">
        <w:rPr>
          <w:rFonts w:asciiTheme="majorHAnsi" w:eastAsia="Times New Roman" w:hAnsiTheme="majorHAnsi" w:cstheme="majorHAnsi"/>
          <w:lang w:val="pl-PL" w:eastAsia="pl-PL"/>
        </w:rPr>
        <w:br/>
        <w:t>c) potwierdzenie kompletności i stanu płyt,</w:t>
      </w:r>
      <w:r w:rsidRPr="007A32DE">
        <w:rPr>
          <w:rFonts w:asciiTheme="majorHAnsi" w:eastAsia="Times New Roman" w:hAnsiTheme="majorHAnsi" w:cstheme="majorHAnsi"/>
          <w:lang w:val="pl-PL" w:eastAsia="pl-PL"/>
        </w:rPr>
        <w:br/>
        <w:t>d) ewentualne drobne usterki z określeniem terminu ich usunięcia.</w:t>
      </w:r>
    </w:p>
    <w:p w14:paraId="78A9F1E8" w14:textId="77777777" w:rsidR="007A32DE" w:rsidRPr="007A32DE" w:rsidRDefault="007A32DE" w:rsidP="00DC6BF9">
      <w:pPr>
        <w:numPr>
          <w:ilvl w:val="0"/>
          <w:numId w:val="15"/>
        </w:numPr>
        <w:spacing w:before="100" w:beforeAutospacing="1" w:after="100" w:afterAutospacing="1" w:line="360" w:lineRule="auto"/>
        <w:rPr>
          <w:rFonts w:asciiTheme="majorHAnsi" w:eastAsia="Times New Roman" w:hAnsiTheme="majorHAnsi" w:cstheme="majorHAnsi"/>
          <w:lang w:val="pl-PL" w:eastAsia="pl-PL"/>
        </w:rPr>
      </w:pPr>
      <w:r w:rsidRPr="007A32DE">
        <w:rPr>
          <w:rFonts w:asciiTheme="majorHAnsi" w:eastAsia="Times New Roman" w:hAnsiTheme="majorHAnsi" w:cstheme="majorHAnsi"/>
          <w:lang w:val="pl-PL" w:eastAsia="pl-PL"/>
        </w:rPr>
        <w:t>W przypadku stwierdzenia wad uniemożliwiających montaż, Strony sporządzą protokół z zastrzeżeniami. Okres płatności biegnie od dnia podpisania protokołu bez zastrzeżeń.</w:t>
      </w:r>
    </w:p>
    <w:p w14:paraId="2AB2481F" w14:textId="705C2A3C" w:rsidR="007A32DE" w:rsidRDefault="00BE0533" w:rsidP="00BE0533">
      <w:pPr>
        <w:spacing w:after="0" w:line="360" w:lineRule="auto"/>
        <w:jc w:val="center"/>
        <w:rPr>
          <w:rFonts w:asciiTheme="majorHAnsi" w:eastAsia="Times New Roman" w:hAnsiTheme="majorHAnsi" w:cstheme="majorHAnsi"/>
          <w:lang w:val="pl-PL" w:eastAsia="pl-PL"/>
        </w:rPr>
      </w:pPr>
      <w:r w:rsidRPr="00BE0533">
        <w:rPr>
          <w:rFonts w:asciiTheme="majorHAnsi" w:eastAsia="Times New Roman" w:hAnsiTheme="majorHAnsi" w:cstheme="majorHAnsi"/>
          <w:lang w:val="pl-PL" w:eastAsia="pl-PL"/>
        </w:rPr>
        <w:t>§5¹. Odbiór nadzoru montażu i dokumenty jakościowe</w:t>
      </w:r>
    </w:p>
    <w:p w14:paraId="0A7F9D79" w14:textId="77777777" w:rsidR="00305363" w:rsidRDefault="00AC42C1" w:rsidP="00AC42C1">
      <w:pPr>
        <w:pStyle w:val="Akapitzlist"/>
        <w:numPr>
          <w:ilvl w:val="1"/>
          <w:numId w:val="12"/>
        </w:numPr>
        <w:tabs>
          <w:tab w:val="clear" w:pos="1440"/>
          <w:tab w:val="num" w:pos="851"/>
        </w:tabs>
        <w:spacing w:after="0" w:line="360" w:lineRule="auto"/>
        <w:ind w:left="709" w:hanging="283"/>
        <w:jc w:val="both"/>
        <w:rPr>
          <w:rFonts w:asciiTheme="majorHAnsi" w:eastAsia="Times New Roman" w:hAnsiTheme="majorHAnsi" w:cstheme="majorHAnsi"/>
          <w:lang w:val="pl-PL" w:eastAsia="pl-PL"/>
        </w:rPr>
      </w:pPr>
      <w:r w:rsidRPr="00AC42C1">
        <w:rPr>
          <w:rFonts w:asciiTheme="majorHAnsi" w:eastAsia="Times New Roman" w:hAnsiTheme="majorHAnsi" w:cstheme="majorHAnsi"/>
          <w:lang w:val="pl-PL" w:eastAsia="pl-PL"/>
        </w:rPr>
        <w:t>Odbiór nadzoru montażu następuje na podstawie Protokołu montażu, który zawiera co najmniej: identyfikację zadania (co/gdzie/kiedy), strony i podpisy, podstawy (umowa/projekt/instrukcje), zakres rzeczowy i materiałowy (ilości, serie), wyniki kontroli kluczowych cech, rejestr niezgodności z terminami usunięcia, decyzję odbiorową oraz informację o początku gwarancji.</w:t>
      </w:r>
    </w:p>
    <w:p w14:paraId="1A4DE913" w14:textId="7AE835B6" w:rsidR="00BE0533" w:rsidRPr="00305363" w:rsidRDefault="414E4CEC" w:rsidP="414E4CEC">
      <w:pPr>
        <w:pStyle w:val="Akapitzlist"/>
        <w:numPr>
          <w:ilvl w:val="1"/>
          <w:numId w:val="12"/>
        </w:numPr>
        <w:tabs>
          <w:tab w:val="clear" w:pos="1440"/>
          <w:tab w:val="num" w:pos="851"/>
        </w:tabs>
        <w:spacing w:after="0" w:line="360" w:lineRule="auto"/>
        <w:ind w:left="709" w:hanging="283"/>
        <w:jc w:val="both"/>
        <w:rPr>
          <w:rFonts w:asciiTheme="majorHAnsi" w:eastAsia="Times New Roman" w:hAnsiTheme="majorHAnsi" w:cstheme="majorBidi"/>
          <w:lang w:val="pl-PL" w:eastAsia="pl-PL"/>
        </w:rPr>
      </w:pPr>
      <w:r w:rsidRPr="414E4CEC">
        <w:rPr>
          <w:rFonts w:asciiTheme="majorHAnsi" w:eastAsia="Times New Roman" w:hAnsiTheme="majorHAnsi" w:cstheme="majorBidi"/>
          <w:lang w:val="pl-PL" w:eastAsia="pl-PL"/>
        </w:rPr>
        <w:t>Wykonawca przekaże Zamawiającemu komplet dokumentów jakościowych: protokoły punktów kontrolnych (</w:t>
      </w:r>
      <w:proofErr w:type="spellStart"/>
      <w:r w:rsidRPr="414E4CEC">
        <w:rPr>
          <w:rFonts w:asciiTheme="majorHAnsi" w:eastAsia="Times New Roman" w:hAnsiTheme="majorHAnsi" w:cstheme="majorBidi"/>
          <w:lang w:val="pl-PL" w:eastAsia="pl-PL"/>
        </w:rPr>
        <w:t>pre</w:t>
      </w:r>
      <w:proofErr w:type="spellEnd"/>
      <w:r w:rsidRPr="414E4CEC">
        <w:rPr>
          <w:rFonts w:asciiTheme="majorHAnsi" w:eastAsia="Times New Roman" w:hAnsiTheme="majorHAnsi" w:cstheme="majorBidi"/>
          <w:lang w:val="pl-PL" w:eastAsia="pl-PL"/>
        </w:rPr>
        <w:t>-start, pierwsza płyta, 50%, przed zakryciem, końcowy), lis</w:t>
      </w:r>
      <w:r w:rsidRPr="414E4CEC">
        <w:rPr>
          <w:rFonts w:asciiTheme="majorHAnsi" w:eastAsia="Times New Roman" w:hAnsiTheme="majorHAnsi" w:cstheme="majorBidi"/>
          <w:lang w:val="pl-PL" w:eastAsia="pl-PL"/>
        </w:rPr>
        <w:t>ty</w:t>
      </w:r>
      <w:r w:rsidRPr="414E4CEC">
        <w:rPr>
          <w:rFonts w:asciiTheme="majorHAnsi" w:eastAsia="Times New Roman" w:hAnsiTheme="majorHAnsi" w:cstheme="majorBidi"/>
          <w:lang w:val="pl-PL" w:eastAsia="pl-PL"/>
        </w:rPr>
        <w:t xml:space="preserve"> kontrolne/ITP oraz raport końcowy z rekomendacją odbioru.</w:t>
      </w:r>
    </w:p>
    <w:p w14:paraId="14859246" w14:textId="77777777" w:rsidR="007A32DE" w:rsidRPr="007A32DE" w:rsidRDefault="007A32DE" w:rsidP="00DC6BF9">
      <w:pPr>
        <w:spacing w:before="100" w:beforeAutospacing="1" w:after="100" w:afterAutospacing="1" w:line="360" w:lineRule="auto"/>
        <w:jc w:val="center"/>
        <w:outlineLvl w:val="2"/>
        <w:rPr>
          <w:rFonts w:asciiTheme="majorHAnsi" w:eastAsia="Times New Roman" w:hAnsiTheme="majorHAnsi" w:cstheme="majorHAnsi"/>
          <w:lang w:val="pl-PL" w:eastAsia="pl-PL"/>
        </w:rPr>
      </w:pPr>
      <w:r w:rsidRPr="007A32DE">
        <w:rPr>
          <w:rFonts w:asciiTheme="majorHAnsi" w:eastAsia="Times New Roman" w:hAnsiTheme="majorHAnsi" w:cstheme="majorHAnsi"/>
          <w:lang w:val="pl-PL" w:eastAsia="pl-PL"/>
        </w:rPr>
        <w:t>§6. Kary umowne</w:t>
      </w:r>
    </w:p>
    <w:p w14:paraId="63494611" w14:textId="77777777" w:rsidR="007A32DE" w:rsidRDefault="007A32DE" w:rsidP="00DC6BF9">
      <w:pPr>
        <w:numPr>
          <w:ilvl w:val="0"/>
          <w:numId w:val="16"/>
        </w:numPr>
        <w:spacing w:before="100" w:beforeAutospacing="1" w:after="100" w:afterAutospacing="1" w:line="360" w:lineRule="auto"/>
        <w:rPr>
          <w:rFonts w:asciiTheme="majorHAnsi" w:eastAsia="Times New Roman" w:hAnsiTheme="majorHAnsi" w:cstheme="majorHAnsi"/>
          <w:lang w:val="pl-PL" w:eastAsia="pl-PL"/>
        </w:rPr>
      </w:pPr>
      <w:r w:rsidRPr="007A32DE">
        <w:rPr>
          <w:rFonts w:asciiTheme="majorHAnsi" w:eastAsia="Times New Roman" w:hAnsiTheme="majorHAnsi" w:cstheme="majorHAnsi"/>
          <w:lang w:val="pl-PL" w:eastAsia="pl-PL"/>
        </w:rPr>
        <w:t>W przypadku opóźnienia w dostawie Wykonawca zapłaci karę umowną w wysokości 5% wartości brutto Umowy za każdy dzień opóźnienia.</w:t>
      </w:r>
    </w:p>
    <w:p w14:paraId="4B6A18B6" w14:textId="08C7FC97" w:rsidR="00944839" w:rsidRPr="007A32DE" w:rsidRDefault="00944839" w:rsidP="00DC6BF9">
      <w:pPr>
        <w:numPr>
          <w:ilvl w:val="0"/>
          <w:numId w:val="16"/>
        </w:numPr>
        <w:spacing w:before="100" w:beforeAutospacing="1" w:after="100" w:afterAutospacing="1" w:line="360" w:lineRule="auto"/>
        <w:rPr>
          <w:rFonts w:asciiTheme="majorHAnsi" w:eastAsia="Times New Roman" w:hAnsiTheme="majorHAnsi" w:cstheme="majorHAnsi"/>
          <w:lang w:val="pl-PL" w:eastAsia="pl-PL"/>
        </w:rPr>
      </w:pPr>
      <w:r w:rsidRPr="00944839">
        <w:rPr>
          <w:rFonts w:asciiTheme="majorHAnsi" w:eastAsia="Times New Roman" w:hAnsiTheme="majorHAnsi" w:cstheme="majorHAnsi"/>
          <w:lang w:val="pl-PL" w:eastAsia="pl-PL"/>
        </w:rPr>
        <w:t>Niezgodności jakościowe stwierdzone przy odbiorze montażu podlegają usunięciu w terminie 3 dni roboczych; po bezskutecznym upływie terminu Zamawiający jest uprawniony do naliczenia kary 0,5% wynagrodzenia brutto za każdy dzień opóźnienia w usunięciu niezgodności, łącznie nie więcej niż 10% wynagrodzenia brutto.</w:t>
      </w:r>
    </w:p>
    <w:p w14:paraId="0D11F4B0" w14:textId="77777777" w:rsidR="007A32DE" w:rsidRPr="007A32DE" w:rsidRDefault="007A32DE" w:rsidP="00DC6BF9">
      <w:pPr>
        <w:numPr>
          <w:ilvl w:val="0"/>
          <w:numId w:val="16"/>
        </w:numPr>
        <w:spacing w:before="100" w:beforeAutospacing="1" w:after="100" w:afterAutospacing="1" w:line="360" w:lineRule="auto"/>
        <w:rPr>
          <w:rFonts w:asciiTheme="majorHAnsi" w:eastAsia="Times New Roman" w:hAnsiTheme="majorHAnsi" w:cstheme="majorHAnsi"/>
          <w:lang w:val="pl-PL" w:eastAsia="pl-PL"/>
        </w:rPr>
      </w:pPr>
      <w:r w:rsidRPr="007A32DE">
        <w:rPr>
          <w:rFonts w:asciiTheme="majorHAnsi" w:eastAsia="Times New Roman" w:hAnsiTheme="majorHAnsi" w:cstheme="majorHAnsi"/>
          <w:lang w:val="pl-PL" w:eastAsia="pl-PL"/>
        </w:rPr>
        <w:t>Łączna wysokość kar umownych nie może przekroczyć 40% wartości brutto Umowy.</w:t>
      </w:r>
    </w:p>
    <w:p w14:paraId="04E4B6BE" w14:textId="77777777" w:rsidR="007A32DE" w:rsidRPr="007A32DE" w:rsidRDefault="007A32DE" w:rsidP="00DC6BF9">
      <w:pPr>
        <w:numPr>
          <w:ilvl w:val="0"/>
          <w:numId w:val="16"/>
        </w:numPr>
        <w:spacing w:before="100" w:beforeAutospacing="1" w:after="100" w:afterAutospacing="1" w:line="360" w:lineRule="auto"/>
        <w:rPr>
          <w:rFonts w:asciiTheme="majorHAnsi" w:eastAsia="Times New Roman" w:hAnsiTheme="majorHAnsi" w:cstheme="majorHAnsi"/>
          <w:lang w:val="pl-PL" w:eastAsia="pl-PL"/>
        </w:rPr>
      </w:pPr>
      <w:r w:rsidRPr="007A32DE">
        <w:rPr>
          <w:rFonts w:asciiTheme="majorHAnsi" w:eastAsia="Times New Roman" w:hAnsiTheme="majorHAnsi" w:cstheme="majorHAnsi"/>
          <w:lang w:val="pl-PL" w:eastAsia="pl-PL"/>
        </w:rPr>
        <w:t>Zapłata kar umownych nie wyłącza prawa Zamawiającego do dochodzenia odszkodowania przewyższającego ich wysokość.</w:t>
      </w:r>
    </w:p>
    <w:p w14:paraId="55435058" w14:textId="5A59A45E" w:rsidR="007A32DE" w:rsidRPr="007A32DE" w:rsidRDefault="007A32DE" w:rsidP="00DC6BF9">
      <w:pPr>
        <w:spacing w:after="0" w:line="360" w:lineRule="auto"/>
        <w:rPr>
          <w:rFonts w:asciiTheme="majorHAnsi" w:eastAsia="Times New Roman" w:hAnsiTheme="majorHAnsi" w:cstheme="majorHAnsi"/>
          <w:lang w:val="pl-PL" w:eastAsia="pl-PL"/>
        </w:rPr>
      </w:pPr>
    </w:p>
    <w:p w14:paraId="126E1816" w14:textId="77777777" w:rsidR="007A32DE" w:rsidRPr="007A32DE" w:rsidRDefault="007A32DE" w:rsidP="00DC6BF9">
      <w:pPr>
        <w:spacing w:before="100" w:beforeAutospacing="1" w:after="100" w:afterAutospacing="1" w:line="360" w:lineRule="auto"/>
        <w:jc w:val="center"/>
        <w:outlineLvl w:val="2"/>
        <w:rPr>
          <w:rFonts w:asciiTheme="majorHAnsi" w:eastAsia="Times New Roman" w:hAnsiTheme="majorHAnsi" w:cstheme="majorHAnsi"/>
          <w:lang w:val="pl-PL" w:eastAsia="pl-PL"/>
        </w:rPr>
      </w:pPr>
      <w:r w:rsidRPr="007A32DE">
        <w:rPr>
          <w:rFonts w:asciiTheme="majorHAnsi" w:eastAsia="Times New Roman" w:hAnsiTheme="majorHAnsi" w:cstheme="majorHAnsi"/>
          <w:lang w:val="pl-PL" w:eastAsia="pl-PL"/>
        </w:rPr>
        <w:t>§7. Zmiany Umowy</w:t>
      </w:r>
    </w:p>
    <w:p w14:paraId="249ECED9" w14:textId="77777777" w:rsidR="007A32DE" w:rsidRPr="007A32DE" w:rsidRDefault="007A32DE" w:rsidP="00DC6BF9">
      <w:pPr>
        <w:numPr>
          <w:ilvl w:val="0"/>
          <w:numId w:val="17"/>
        </w:numPr>
        <w:spacing w:before="100" w:beforeAutospacing="1" w:after="100" w:afterAutospacing="1" w:line="360" w:lineRule="auto"/>
        <w:rPr>
          <w:rFonts w:asciiTheme="majorHAnsi" w:eastAsia="Times New Roman" w:hAnsiTheme="majorHAnsi" w:cstheme="majorHAnsi"/>
          <w:lang w:val="pl-PL" w:eastAsia="pl-PL"/>
        </w:rPr>
      </w:pPr>
      <w:r w:rsidRPr="007A32DE">
        <w:rPr>
          <w:rFonts w:asciiTheme="majorHAnsi" w:eastAsia="Times New Roman" w:hAnsiTheme="majorHAnsi" w:cstheme="majorHAnsi"/>
          <w:lang w:val="pl-PL" w:eastAsia="pl-PL"/>
        </w:rPr>
        <w:lastRenderedPageBreak/>
        <w:t>Wszelkie zmiany i uzupełnienia Umowy wymagają formy pisemnej pod rygorem nieważności.</w:t>
      </w:r>
    </w:p>
    <w:p w14:paraId="7B721FEA" w14:textId="77777777" w:rsidR="007A32DE" w:rsidRPr="007A32DE" w:rsidRDefault="007A32DE" w:rsidP="00DC6BF9">
      <w:pPr>
        <w:numPr>
          <w:ilvl w:val="0"/>
          <w:numId w:val="17"/>
        </w:numPr>
        <w:spacing w:before="100" w:beforeAutospacing="1" w:after="100" w:afterAutospacing="1" w:line="360" w:lineRule="auto"/>
        <w:rPr>
          <w:rFonts w:asciiTheme="majorHAnsi" w:eastAsia="Times New Roman" w:hAnsiTheme="majorHAnsi" w:cstheme="majorHAnsi"/>
          <w:lang w:val="pl-PL" w:eastAsia="pl-PL"/>
        </w:rPr>
      </w:pPr>
      <w:r w:rsidRPr="007A32DE">
        <w:rPr>
          <w:rFonts w:asciiTheme="majorHAnsi" w:eastAsia="Times New Roman" w:hAnsiTheme="majorHAnsi" w:cstheme="majorHAnsi"/>
          <w:lang w:val="pl-PL" w:eastAsia="pl-PL"/>
        </w:rPr>
        <w:t>Dopuszczalne są jedynie zmiany zgodne z warunkami określonymi w pkt 11 Zapytania ofertowego, w szczególności gdy:</w:t>
      </w:r>
    </w:p>
    <w:p w14:paraId="643F3FFA" w14:textId="77777777" w:rsidR="007A32DE" w:rsidRPr="007A32DE" w:rsidRDefault="007A32DE" w:rsidP="00DC6BF9">
      <w:pPr>
        <w:numPr>
          <w:ilvl w:val="1"/>
          <w:numId w:val="17"/>
        </w:numPr>
        <w:spacing w:before="100" w:beforeAutospacing="1" w:after="100" w:afterAutospacing="1" w:line="360" w:lineRule="auto"/>
        <w:rPr>
          <w:rFonts w:asciiTheme="majorHAnsi" w:eastAsia="Times New Roman" w:hAnsiTheme="majorHAnsi" w:cstheme="majorHAnsi"/>
          <w:lang w:val="pl-PL" w:eastAsia="pl-PL"/>
        </w:rPr>
      </w:pPr>
      <w:r w:rsidRPr="007A32DE">
        <w:rPr>
          <w:rFonts w:asciiTheme="majorHAnsi" w:eastAsia="Times New Roman" w:hAnsiTheme="majorHAnsi" w:cstheme="majorHAnsi"/>
          <w:lang w:val="pl-PL" w:eastAsia="pl-PL"/>
        </w:rPr>
        <w:t>zmiana wynika z działania siły wyższej lub okoliczności niemożliwych do przewidzenia,</w:t>
      </w:r>
    </w:p>
    <w:p w14:paraId="69865048" w14:textId="77777777" w:rsidR="007A32DE" w:rsidRPr="007A32DE" w:rsidRDefault="007A32DE" w:rsidP="00DC6BF9">
      <w:pPr>
        <w:numPr>
          <w:ilvl w:val="1"/>
          <w:numId w:val="17"/>
        </w:numPr>
        <w:spacing w:before="100" w:beforeAutospacing="1" w:after="100" w:afterAutospacing="1" w:line="360" w:lineRule="auto"/>
        <w:rPr>
          <w:rFonts w:asciiTheme="majorHAnsi" w:eastAsia="Times New Roman" w:hAnsiTheme="majorHAnsi" w:cstheme="majorHAnsi"/>
          <w:lang w:val="pl-PL" w:eastAsia="pl-PL"/>
        </w:rPr>
      </w:pPr>
      <w:r w:rsidRPr="007A32DE">
        <w:rPr>
          <w:rFonts w:asciiTheme="majorHAnsi" w:eastAsia="Times New Roman" w:hAnsiTheme="majorHAnsi" w:cstheme="majorHAnsi"/>
          <w:lang w:val="pl-PL" w:eastAsia="pl-PL"/>
        </w:rPr>
        <w:t>nastąpi zmiana przepisów prawa,</w:t>
      </w:r>
    </w:p>
    <w:p w14:paraId="60C2BAAA" w14:textId="77777777" w:rsidR="007A32DE" w:rsidRPr="007A32DE" w:rsidRDefault="007A32DE" w:rsidP="00DC6BF9">
      <w:pPr>
        <w:numPr>
          <w:ilvl w:val="1"/>
          <w:numId w:val="17"/>
        </w:numPr>
        <w:spacing w:before="100" w:beforeAutospacing="1" w:after="100" w:afterAutospacing="1" w:line="360" w:lineRule="auto"/>
        <w:rPr>
          <w:rFonts w:asciiTheme="majorHAnsi" w:eastAsia="Times New Roman" w:hAnsiTheme="majorHAnsi" w:cstheme="majorHAnsi"/>
          <w:lang w:val="pl-PL" w:eastAsia="pl-PL"/>
        </w:rPr>
      </w:pPr>
      <w:r w:rsidRPr="007A32DE">
        <w:rPr>
          <w:rFonts w:asciiTheme="majorHAnsi" w:eastAsia="Times New Roman" w:hAnsiTheme="majorHAnsi" w:cstheme="majorHAnsi"/>
          <w:lang w:val="pl-PL" w:eastAsia="pl-PL"/>
        </w:rPr>
        <w:t>nastąpi sukcesja prawna Wykonawcy,</w:t>
      </w:r>
    </w:p>
    <w:p w14:paraId="297FE3CD" w14:textId="77777777" w:rsidR="007A32DE" w:rsidRPr="007A32DE" w:rsidRDefault="007A32DE" w:rsidP="00DC6BF9">
      <w:pPr>
        <w:numPr>
          <w:ilvl w:val="1"/>
          <w:numId w:val="17"/>
        </w:numPr>
        <w:spacing w:before="100" w:beforeAutospacing="1" w:after="100" w:afterAutospacing="1" w:line="360" w:lineRule="auto"/>
        <w:rPr>
          <w:rFonts w:asciiTheme="majorHAnsi" w:eastAsia="Times New Roman" w:hAnsiTheme="majorHAnsi" w:cstheme="majorHAnsi"/>
          <w:lang w:val="pl-PL" w:eastAsia="pl-PL"/>
        </w:rPr>
      </w:pPr>
      <w:r w:rsidRPr="007A32DE">
        <w:rPr>
          <w:rFonts w:asciiTheme="majorHAnsi" w:eastAsia="Times New Roman" w:hAnsiTheme="majorHAnsi" w:cstheme="majorHAnsi"/>
          <w:lang w:val="pl-PL" w:eastAsia="pl-PL"/>
        </w:rPr>
        <w:t>zmieni się stawka podatku VAT lub inne obciążenia publiczne,</w:t>
      </w:r>
    </w:p>
    <w:p w14:paraId="2A52F35C" w14:textId="77777777" w:rsidR="007A32DE" w:rsidRPr="007A32DE" w:rsidRDefault="007A32DE" w:rsidP="00DC6BF9">
      <w:pPr>
        <w:numPr>
          <w:ilvl w:val="1"/>
          <w:numId w:val="17"/>
        </w:numPr>
        <w:spacing w:before="100" w:beforeAutospacing="1" w:after="100" w:afterAutospacing="1" w:line="360" w:lineRule="auto"/>
        <w:rPr>
          <w:rFonts w:asciiTheme="majorHAnsi" w:eastAsia="Times New Roman" w:hAnsiTheme="majorHAnsi" w:cstheme="majorHAnsi"/>
          <w:lang w:val="pl-PL" w:eastAsia="pl-PL"/>
        </w:rPr>
      </w:pPr>
      <w:r w:rsidRPr="007A32DE">
        <w:rPr>
          <w:rFonts w:asciiTheme="majorHAnsi" w:eastAsia="Times New Roman" w:hAnsiTheme="majorHAnsi" w:cstheme="majorHAnsi"/>
          <w:lang w:val="pl-PL" w:eastAsia="pl-PL"/>
        </w:rPr>
        <w:t>konieczne jest przedłużenie terminu realizacji z przyczyn niezależnych od Stron.</w:t>
      </w:r>
    </w:p>
    <w:p w14:paraId="4B4ED9A0" w14:textId="6E02518B" w:rsidR="007A32DE" w:rsidRPr="007A32DE" w:rsidRDefault="007A32DE" w:rsidP="00DC6BF9">
      <w:pPr>
        <w:spacing w:after="0" w:line="360" w:lineRule="auto"/>
        <w:rPr>
          <w:rFonts w:asciiTheme="majorHAnsi" w:eastAsia="Times New Roman" w:hAnsiTheme="majorHAnsi" w:cstheme="majorHAnsi"/>
          <w:lang w:val="pl-PL" w:eastAsia="pl-PL"/>
        </w:rPr>
      </w:pPr>
    </w:p>
    <w:p w14:paraId="2AFFBAB9" w14:textId="77777777" w:rsidR="007A32DE" w:rsidRPr="007A32DE" w:rsidRDefault="007A32DE" w:rsidP="00DC6BF9">
      <w:pPr>
        <w:spacing w:before="100" w:beforeAutospacing="1" w:after="100" w:afterAutospacing="1" w:line="360" w:lineRule="auto"/>
        <w:jc w:val="center"/>
        <w:outlineLvl w:val="2"/>
        <w:rPr>
          <w:rFonts w:asciiTheme="majorHAnsi" w:eastAsia="Times New Roman" w:hAnsiTheme="majorHAnsi" w:cstheme="majorHAnsi"/>
          <w:lang w:val="pl-PL" w:eastAsia="pl-PL"/>
        </w:rPr>
      </w:pPr>
      <w:r w:rsidRPr="007A32DE">
        <w:rPr>
          <w:rFonts w:asciiTheme="majorHAnsi" w:eastAsia="Times New Roman" w:hAnsiTheme="majorHAnsi" w:cstheme="majorHAnsi"/>
          <w:lang w:val="pl-PL" w:eastAsia="pl-PL"/>
        </w:rPr>
        <w:t>§8. Oświadczenia i zobowiązania Wykonawcy</w:t>
      </w:r>
    </w:p>
    <w:p w14:paraId="2FAB1EC1" w14:textId="77777777" w:rsidR="007A32DE" w:rsidRPr="007A32DE" w:rsidRDefault="007A32DE" w:rsidP="00DC6BF9">
      <w:pPr>
        <w:numPr>
          <w:ilvl w:val="0"/>
          <w:numId w:val="18"/>
        </w:numPr>
        <w:spacing w:before="100" w:beforeAutospacing="1" w:after="100" w:afterAutospacing="1" w:line="360" w:lineRule="auto"/>
        <w:rPr>
          <w:rFonts w:asciiTheme="majorHAnsi" w:eastAsia="Times New Roman" w:hAnsiTheme="majorHAnsi" w:cstheme="majorHAnsi"/>
          <w:lang w:val="pl-PL" w:eastAsia="pl-PL"/>
        </w:rPr>
      </w:pPr>
      <w:r w:rsidRPr="007A32DE">
        <w:rPr>
          <w:rFonts w:asciiTheme="majorHAnsi" w:eastAsia="Times New Roman" w:hAnsiTheme="majorHAnsi" w:cstheme="majorHAnsi"/>
          <w:lang w:val="pl-PL" w:eastAsia="pl-PL"/>
        </w:rPr>
        <w:t>Wykonawca oświadcza, że:</w:t>
      </w:r>
      <w:r w:rsidRPr="007A32DE">
        <w:rPr>
          <w:rFonts w:asciiTheme="majorHAnsi" w:eastAsia="Times New Roman" w:hAnsiTheme="majorHAnsi" w:cstheme="majorHAnsi"/>
          <w:lang w:val="pl-PL" w:eastAsia="pl-PL"/>
        </w:rPr>
        <w:br/>
        <w:t>a) nie jest powiązany kapitałowo ani osobowo z Zamawiającym (zgodnie z oświadczeniem – Załącznik nr 2),</w:t>
      </w:r>
      <w:r w:rsidRPr="007A32DE">
        <w:rPr>
          <w:rFonts w:asciiTheme="majorHAnsi" w:eastAsia="Times New Roman" w:hAnsiTheme="majorHAnsi" w:cstheme="majorHAnsi"/>
          <w:lang w:val="pl-PL" w:eastAsia="pl-PL"/>
        </w:rPr>
        <w:br/>
        <w:t>b) nie podlega wykluczeniu na podstawie art. 5k Rozporządzenia Rady (UE) nr 833/2014 ani art. 7 ust. 1 ustawy z dnia 13 kwietnia 2022 r.,</w:t>
      </w:r>
      <w:r w:rsidRPr="007A32DE">
        <w:rPr>
          <w:rFonts w:asciiTheme="majorHAnsi" w:eastAsia="Times New Roman" w:hAnsiTheme="majorHAnsi" w:cstheme="majorHAnsi"/>
          <w:lang w:val="pl-PL" w:eastAsia="pl-PL"/>
        </w:rPr>
        <w:br/>
        <w:t>c) posiada wymagane doświadczenie zgodnie z Załącznikiem nr 3.</w:t>
      </w:r>
    </w:p>
    <w:p w14:paraId="4E67C07B" w14:textId="6987F0EB" w:rsidR="007A32DE" w:rsidRPr="00FA07A2" w:rsidRDefault="007A32DE" w:rsidP="00FA07A2">
      <w:pPr>
        <w:numPr>
          <w:ilvl w:val="0"/>
          <w:numId w:val="18"/>
        </w:numPr>
        <w:spacing w:before="100" w:beforeAutospacing="1" w:after="100" w:afterAutospacing="1" w:line="360" w:lineRule="auto"/>
        <w:rPr>
          <w:rFonts w:asciiTheme="majorHAnsi" w:eastAsia="Times New Roman" w:hAnsiTheme="majorHAnsi" w:cstheme="majorHAnsi"/>
          <w:lang w:val="pl-PL" w:eastAsia="pl-PL"/>
        </w:rPr>
      </w:pPr>
      <w:r w:rsidRPr="007A32DE">
        <w:rPr>
          <w:rFonts w:asciiTheme="majorHAnsi" w:eastAsia="Times New Roman" w:hAnsiTheme="majorHAnsi" w:cstheme="majorHAnsi"/>
          <w:lang w:val="pl-PL" w:eastAsia="pl-PL"/>
        </w:rPr>
        <w:t>Wykonawca zobowiązuje się do wykonywania Umowy z należytą starannością, zgodnie z obowiązującymi normami technicznymi i zasadami sztuki budowlanej.</w:t>
      </w:r>
    </w:p>
    <w:p w14:paraId="7D5003CC" w14:textId="77777777" w:rsidR="007A32DE" w:rsidRPr="007A32DE" w:rsidRDefault="007A32DE" w:rsidP="00FA07A2">
      <w:pPr>
        <w:spacing w:before="100" w:beforeAutospacing="1" w:after="100" w:afterAutospacing="1" w:line="360" w:lineRule="auto"/>
        <w:jc w:val="center"/>
        <w:outlineLvl w:val="2"/>
        <w:rPr>
          <w:rFonts w:asciiTheme="majorHAnsi" w:eastAsia="Times New Roman" w:hAnsiTheme="majorHAnsi" w:cstheme="majorHAnsi"/>
          <w:lang w:val="pl-PL" w:eastAsia="pl-PL"/>
        </w:rPr>
      </w:pPr>
      <w:r w:rsidRPr="007A32DE">
        <w:rPr>
          <w:rFonts w:asciiTheme="majorHAnsi" w:eastAsia="Times New Roman" w:hAnsiTheme="majorHAnsi" w:cstheme="majorHAnsi"/>
          <w:lang w:val="pl-PL" w:eastAsia="pl-PL"/>
        </w:rPr>
        <w:t>§9. Odpowiedzialność i gwarancja</w:t>
      </w:r>
    </w:p>
    <w:p w14:paraId="01AEB681" w14:textId="7465F330" w:rsidR="007A32DE" w:rsidRPr="007A32DE" w:rsidRDefault="007A32DE" w:rsidP="00DC6BF9">
      <w:pPr>
        <w:numPr>
          <w:ilvl w:val="0"/>
          <w:numId w:val="19"/>
        </w:numPr>
        <w:spacing w:before="100" w:beforeAutospacing="1" w:after="100" w:afterAutospacing="1" w:line="360" w:lineRule="auto"/>
        <w:rPr>
          <w:rFonts w:asciiTheme="majorHAnsi" w:eastAsia="Times New Roman" w:hAnsiTheme="majorHAnsi" w:cstheme="majorHAnsi"/>
          <w:lang w:val="pl-PL" w:eastAsia="pl-PL"/>
        </w:rPr>
      </w:pPr>
      <w:r w:rsidRPr="007A32DE">
        <w:rPr>
          <w:rFonts w:asciiTheme="majorHAnsi" w:eastAsia="Times New Roman" w:hAnsiTheme="majorHAnsi" w:cstheme="majorHAnsi"/>
          <w:lang w:val="pl-PL" w:eastAsia="pl-PL"/>
        </w:rPr>
        <w:t xml:space="preserve">Wykonawca udziela gwarancji jakości na dostarczone płyty na okres min. </w:t>
      </w:r>
      <w:r w:rsidR="00431E12">
        <w:rPr>
          <w:rFonts w:asciiTheme="majorHAnsi" w:eastAsia="Times New Roman" w:hAnsiTheme="majorHAnsi" w:cstheme="majorHAnsi"/>
          <w:lang w:val="pl-PL" w:eastAsia="pl-PL"/>
        </w:rPr>
        <w:t>60</w:t>
      </w:r>
      <w:r w:rsidRPr="007A32DE">
        <w:rPr>
          <w:rFonts w:asciiTheme="majorHAnsi" w:eastAsia="Times New Roman" w:hAnsiTheme="majorHAnsi" w:cstheme="majorHAnsi"/>
          <w:lang w:val="pl-PL" w:eastAsia="pl-PL"/>
        </w:rPr>
        <w:t xml:space="preserve"> miesięcy od daty podpisania protokołu </w:t>
      </w:r>
      <w:r w:rsidR="006749F9">
        <w:rPr>
          <w:rFonts w:asciiTheme="majorHAnsi" w:eastAsia="Times New Roman" w:hAnsiTheme="majorHAnsi" w:cstheme="majorHAnsi"/>
          <w:lang w:val="pl-PL" w:eastAsia="pl-PL"/>
        </w:rPr>
        <w:t>montażu</w:t>
      </w:r>
      <w:r w:rsidRPr="007A32DE">
        <w:rPr>
          <w:rFonts w:asciiTheme="majorHAnsi" w:eastAsia="Times New Roman" w:hAnsiTheme="majorHAnsi" w:cstheme="majorHAnsi"/>
          <w:lang w:val="pl-PL" w:eastAsia="pl-PL"/>
        </w:rPr>
        <w:t xml:space="preserve"> bez zastrzeżeń.</w:t>
      </w:r>
    </w:p>
    <w:p w14:paraId="269C1D0D" w14:textId="77777777" w:rsidR="007A32DE" w:rsidRPr="007A32DE" w:rsidRDefault="007A32DE" w:rsidP="00DC6BF9">
      <w:pPr>
        <w:numPr>
          <w:ilvl w:val="0"/>
          <w:numId w:val="19"/>
        </w:numPr>
        <w:spacing w:before="100" w:beforeAutospacing="1" w:after="100" w:afterAutospacing="1" w:line="360" w:lineRule="auto"/>
        <w:rPr>
          <w:rFonts w:asciiTheme="majorHAnsi" w:eastAsia="Times New Roman" w:hAnsiTheme="majorHAnsi" w:cstheme="majorHAnsi"/>
          <w:lang w:val="pl-PL" w:eastAsia="pl-PL"/>
        </w:rPr>
      </w:pPr>
      <w:r w:rsidRPr="007A32DE">
        <w:rPr>
          <w:rFonts w:asciiTheme="majorHAnsi" w:eastAsia="Times New Roman" w:hAnsiTheme="majorHAnsi" w:cstheme="majorHAnsi"/>
          <w:lang w:val="pl-PL" w:eastAsia="pl-PL"/>
        </w:rPr>
        <w:t>W przypadku ujawnienia wad w okresie gwarancji, Wykonawca zobowiązany jest do ich usunięcia w terminie 14 dni od zgłoszenia przez Zamawiającego.</w:t>
      </w:r>
    </w:p>
    <w:p w14:paraId="4E133951" w14:textId="30BF54D7" w:rsidR="007A32DE" w:rsidRPr="007A32DE" w:rsidRDefault="007A32DE" w:rsidP="00DC6BF9">
      <w:pPr>
        <w:spacing w:after="0" w:line="360" w:lineRule="auto"/>
        <w:rPr>
          <w:rFonts w:asciiTheme="majorHAnsi" w:eastAsia="Times New Roman" w:hAnsiTheme="majorHAnsi" w:cstheme="majorHAnsi"/>
          <w:lang w:val="pl-PL" w:eastAsia="pl-PL"/>
        </w:rPr>
      </w:pPr>
    </w:p>
    <w:p w14:paraId="528AAEBE" w14:textId="77777777" w:rsidR="007A32DE" w:rsidRPr="007A32DE" w:rsidRDefault="007A32DE" w:rsidP="00DC6BF9">
      <w:pPr>
        <w:spacing w:before="100" w:beforeAutospacing="1" w:after="100" w:afterAutospacing="1" w:line="360" w:lineRule="auto"/>
        <w:jc w:val="center"/>
        <w:outlineLvl w:val="2"/>
        <w:rPr>
          <w:rFonts w:asciiTheme="majorHAnsi" w:eastAsia="Times New Roman" w:hAnsiTheme="majorHAnsi" w:cstheme="majorHAnsi"/>
          <w:lang w:val="pl-PL" w:eastAsia="pl-PL"/>
        </w:rPr>
      </w:pPr>
      <w:r w:rsidRPr="007A32DE">
        <w:rPr>
          <w:rFonts w:asciiTheme="majorHAnsi" w:eastAsia="Times New Roman" w:hAnsiTheme="majorHAnsi" w:cstheme="majorHAnsi"/>
          <w:lang w:val="pl-PL" w:eastAsia="pl-PL"/>
        </w:rPr>
        <w:t>§10. Postanowienia końcowe</w:t>
      </w:r>
    </w:p>
    <w:p w14:paraId="2D5E9274" w14:textId="77777777" w:rsidR="007A32DE" w:rsidRPr="007A32DE" w:rsidRDefault="007A32DE" w:rsidP="00DC6BF9">
      <w:pPr>
        <w:numPr>
          <w:ilvl w:val="0"/>
          <w:numId w:val="20"/>
        </w:numPr>
        <w:spacing w:before="100" w:beforeAutospacing="1" w:after="100" w:afterAutospacing="1" w:line="360" w:lineRule="auto"/>
        <w:rPr>
          <w:rFonts w:asciiTheme="majorHAnsi" w:eastAsia="Times New Roman" w:hAnsiTheme="majorHAnsi" w:cstheme="majorHAnsi"/>
          <w:lang w:val="pl-PL" w:eastAsia="pl-PL"/>
        </w:rPr>
      </w:pPr>
      <w:r w:rsidRPr="007A32DE">
        <w:rPr>
          <w:rFonts w:asciiTheme="majorHAnsi" w:eastAsia="Times New Roman" w:hAnsiTheme="majorHAnsi" w:cstheme="majorHAnsi"/>
          <w:lang w:val="pl-PL" w:eastAsia="pl-PL"/>
        </w:rPr>
        <w:t>W sprawach nieuregulowanych Umową mają zastosowanie przepisy Kodeksu cywilnego.</w:t>
      </w:r>
    </w:p>
    <w:p w14:paraId="20254768" w14:textId="77777777" w:rsidR="007A32DE" w:rsidRPr="007A32DE" w:rsidRDefault="007A32DE" w:rsidP="00DC6BF9">
      <w:pPr>
        <w:numPr>
          <w:ilvl w:val="0"/>
          <w:numId w:val="20"/>
        </w:numPr>
        <w:spacing w:before="100" w:beforeAutospacing="1" w:after="100" w:afterAutospacing="1" w:line="360" w:lineRule="auto"/>
        <w:rPr>
          <w:rFonts w:asciiTheme="majorHAnsi" w:eastAsia="Times New Roman" w:hAnsiTheme="majorHAnsi" w:cstheme="majorHAnsi"/>
          <w:lang w:val="pl-PL" w:eastAsia="pl-PL"/>
        </w:rPr>
      </w:pPr>
      <w:r w:rsidRPr="007A32DE">
        <w:rPr>
          <w:rFonts w:asciiTheme="majorHAnsi" w:eastAsia="Times New Roman" w:hAnsiTheme="majorHAnsi" w:cstheme="majorHAnsi"/>
          <w:lang w:val="pl-PL" w:eastAsia="pl-PL"/>
        </w:rPr>
        <w:t>Umowa została sporządzona w dwóch jednobrzmiących egzemplarzach, po jednym dla każdej ze Stron.</w:t>
      </w:r>
    </w:p>
    <w:p w14:paraId="51311D66" w14:textId="77777777" w:rsidR="007A32DE" w:rsidRPr="007A32DE" w:rsidRDefault="007A32DE" w:rsidP="00DC6BF9">
      <w:pPr>
        <w:numPr>
          <w:ilvl w:val="0"/>
          <w:numId w:val="20"/>
        </w:numPr>
        <w:spacing w:before="100" w:beforeAutospacing="1" w:after="100" w:afterAutospacing="1" w:line="360" w:lineRule="auto"/>
        <w:rPr>
          <w:rFonts w:asciiTheme="majorHAnsi" w:eastAsia="Times New Roman" w:hAnsiTheme="majorHAnsi" w:cstheme="majorHAnsi"/>
          <w:lang w:val="pl-PL" w:eastAsia="pl-PL"/>
        </w:rPr>
      </w:pPr>
      <w:r w:rsidRPr="007A32DE">
        <w:rPr>
          <w:rFonts w:asciiTheme="majorHAnsi" w:eastAsia="Times New Roman" w:hAnsiTheme="majorHAnsi" w:cstheme="majorHAnsi"/>
          <w:lang w:val="pl-PL" w:eastAsia="pl-PL"/>
        </w:rPr>
        <w:t>Integralną część Umowy stanowią:</w:t>
      </w:r>
    </w:p>
    <w:p w14:paraId="6441A9DE" w14:textId="77777777" w:rsidR="007A32DE" w:rsidRPr="007A32DE" w:rsidRDefault="007A32DE" w:rsidP="00DC6BF9">
      <w:pPr>
        <w:numPr>
          <w:ilvl w:val="1"/>
          <w:numId w:val="20"/>
        </w:numPr>
        <w:spacing w:before="100" w:beforeAutospacing="1" w:after="100" w:afterAutospacing="1" w:line="360" w:lineRule="auto"/>
        <w:rPr>
          <w:rFonts w:asciiTheme="majorHAnsi" w:eastAsia="Times New Roman" w:hAnsiTheme="majorHAnsi" w:cstheme="majorHAnsi"/>
          <w:lang w:val="pl-PL" w:eastAsia="pl-PL"/>
        </w:rPr>
      </w:pPr>
      <w:r w:rsidRPr="007A32DE">
        <w:rPr>
          <w:rFonts w:asciiTheme="majorHAnsi" w:eastAsia="Times New Roman" w:hAnsiTheme="majorHAnsi" w:cstheme="majorHAnsi"/>
          <w:lang w:val="pl-PL" w:eastAsia="pl-PL"/>
        </w:rPr>
        <w:t>Załącznik nr 1 – Opis Przedmiotu Zamówienia (OPZ)</w:t>
      </w:r>
    </w:p>
    <w:p w14:paraId="461EA55B" w14:textId="77777777" w:rsidR="007A32DE" w:rsidRPr="007A32DE" w:rsidRDefault="007A32DE" w:rsidP="00DC6BF9">
      <w:pPr>
        <w:numPr>
          <w:ilvl w:val="1"/>
          <w:numId w:val="20"/>
        </w:numPr>
        <w:spacing w:before="100" w:beforeAutospacing="1" w:after="100" w:afterAutospacing="1" w:line="360" w:lineRule="auto"/>
        <w:rPr>
          <w:rFonts w:asciiTheme="majorHAnsi" w:eastAsia="Times New Roman" w:hAnsiTheme="majorHAnsi" w:cstheme="majorHAnsi"/>
          <w:lang w:val="pl-PL" w:eastAsia="pl-PL"/>
        </w:rPr>
      </w:pPr>
      <w:r w:rsidRPr="007A32DE">
        <w:rPr>
          <w:rFonts w:asciiTheme="majorHAnsi" w:eastAsia="Times New Roman" w:hAnsiTheme="majorHAnsi" w:cstheme="majorHAnsi"/>
          <w:lang w:val="pl-PL" w:eastAsia="pl-PL"/>
        </w:rPr>
        <w:t>Załącznik nr 2 – Oświadczenie o braku powiązań osobowych/kapitałowych</w:t>
      </w:r>
    </w:p>
    <w:p w14:paraId="20BA69A1" w14:textId="77777777" w:rsidR="007A32DE" w:rsidRPr="007A32DE" w:rsidRDefault="007A32DE" w:rsidP="00DC6BF9">
      <w:pPr>
        <w:numPr>
          <w:ilvl w:val="1"/>
          <w:numId w:val="20"/>
        </w:numPr>
        <w:spacing w:before="100" w:beforeAutospacing="1" w:after="100" w:afterAutospacing="1" w:line="360" w:lineRule="auto"/>
        <w:rPr>
          <w:rFonts w:asciiTheme="majorHAnsi" w:eastAsia="Times New Roman" w:hAnsiTheme="majorHAnsi" w:cstheme="majorHAnsi"/>
          <w:lang w:val="pl-PL" w:eastAsia="pl-PL"/>
        </w:rPr>
      </w:pPr>
      <w:r w:rsidRPr="007A32DE">
        <w:rPr>
          <w:rFonts w:asciiTheme="majorHAnsi" w:eastAsia="Times New Roman" w:hAnsiTheme="majorHAnsi" w:cstheme="majorHAnsi"/>
          <w:lang w:val="pl-PL" w:eastAsia="pl-PL"/>
        </w:rPr>
        <w:t>Załącznik nr 3 – Oświadczenie o doświadczeniu</w:t>
      </w:r>
    </w:p>
    <w:p w14:paraId="2A73099A" w14:textId="77777777" w:rsidR="007A32DE" w:rsidRPr="007A32DE" w:rsidRDefault="007A32DE" w:rsidP="00DC6BF9">
      <w:pPr>
        <w:numPr>
          <w:ilvl w:val="1"/>
          <w:numId w:val="20"/>
        </w:numPr>
        <w:spacing w:before="100" w:beforeAutospacing="1" w:after="100" w:afterAutospacing="1" w:line="360" w:lineRule="auto"/>
        <w:rPr>
          <w:rFonts w:asciiTheme="majorHAnsi" w:eastAsia="Times New Roman" w:hAnsiTheme="majorHAnsi" w:cstheme="majorHAnsi"/>
          <w:lang w:val="pl-PL" w:eastAsia="pl-PL"/>
        </w:rPr>
      </w:pPr>
      <w:r w:rsidRPr="007A32DE">
        <w:rPr>
          <w:rFonts w:asciiTheme="majorHAnsi" w:eastAsia="Times New Roman" w:hAnsiTheme="majorHAnsi" w:cstheme="majorHAnsi"/>
          <w:lang w:val="pl-PL" w:eastAsia="pl-PL"/>
        </w:rPr>
        <w:t>Załącznik nr 4 – Oferta Wykonawcy</w:t>
      </w:r>
    </w:p>
    <w:p w14:paraId="1A4410B2" w14:textId="3C038496" w:rsidR="007A32DE" w:rsidRPr="007A32DE" w:rsidRDefault="007A32DE" w:rsidP="00DC6BF9">
      <w:pPr>
        <w:spacing w:after="0" w:line="360" w:lineRule="auto"/>
        <w:rPr>
          <w:rFonts w:asciiTheme="majorHAnsi" w:eastAsia="Times New Roman" w:hAnsiTheme="majorHAnsi" w:cstheme="majorHAnsi"/>
          <w:lang w:val="pl-PL" w:eastAsia="pl-PL"/>
        </w:rPr>
      </w:pPr>
    </w:p>
    <w:p w14:paraId="40413589" w14:textId="77777777" w:rsidR="007A32DE" w:rsidRPr="007A32DE" w:rsidRDefault="007A32DE" w:rsidP="00DC6BF9">
      <w:pPr>
        <w:spacing w:before="100" w:beforeAutospacing="1" w:after="100" w:afterAutospacing="1" w:line="360" w:lineRule="auto"/>
        <w:rPr>
          <w:rFonts w:asciiTheme="majorHAnsi" w:eastAsia="Times New Roman" w:hAnsiTheme="majorHAnsi" w:cstheme="majorHAnsi"/>
          <w:lang w:val="pl-PL" w:eastAsia="pl-PL"/>
        </w:rPr>
      </w:pPr>
      <w:r w:rsidRPr="007A32DE">
        <w:rPr>
          <w:rFonts w:asciiTheme="majorHAnsi" w:eastAsia="Times New Roman" w:hAnsiTheme="majorHAnsi" w:cstheme="majorHAnsi"/>
          <w:lang w:val="pl-PL" w:eastAsia="pl-PL"/>
        </w:rPr>
        <w:t>ZAMAWIAJĄCY: WYKONAWCA:</w:t>
      </w:r>
      <w:r w:rsidRPr="007A32DE">
        <w:rPr>
          <w:rFonts w:asciiTheme="majorHAnsi" w:eastAsia="Times New Roman" w:hAnsiTheme="majorHAnsi" w:cstheme="majorHAnsi"/>
          <w:lang w:val="pl-PL" w:eastAsia="pl-PL"/>
        </w:rPr>
        <w:br/>
        <w:t>……………………………………….. ………………………………………..</w:t>
      </w:r>
    </w:p>
    <w:p w14:paraId="20AF9D71" w14:textId="77777777" w:rsidR="007A32DE" w:rsidRPr="007A32DE" w:rsidRDefault="007A32DE" w:rsidP="00DC6BF9">
      <w:pPr>
        <w:spacing w:before="100" w:beforeAutospacing="1" w:after="100" w:afterAutospacing="1" w:line="360" w:lineRule="auto"/>
        <w:rPr>
          <w:rFonts w:asciiTheme="majorHAnsi" w:eastAsia="Times New Roman" w:hAnsiTheme="majorHAnsi" w:cstheme="majorHAnsi"/>
          <w:lang w:val="pl-PL" w:eastAsia="pl-PL"/>
        </w:rPr>
      </w:pPr>
      <w:r w:rsidRPr="007A32DE">
        <w:rPr>
          <w:rFonts w:asciiTheme="majorHAnsi" w:eastAsia="Times New Roman" w:hAnsiTheme="majorHAnsi" w:cstheme="majorHAnsi"/>
          <w:lang w:val="pl-PL" w:eastAsia="pl-PL"/>
        </w:rPr>
        <w:t>(data, podpis, pieczęć) (data, podpis, pieczęć)</w:t>
      </w:r>
    </w:p>
    <w:sectPr w:rsidR="007A32DE" w:rsidRPr="007A32DE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28254B" w14:textId="77777777" w:rsidR="00082C46" w:rsidRDefault="00082C46">
      <w:pPr>
        <w:spacing w:line="240" w:lineRule="auto"/>
      </w:pPr>
      <w:r>
        <w:separator/>
      </w:r>
    </w:p>
  </w:endnote>
  <w:endnote w:type="continuationSeparator" w:id="0">
    <w:p w14:paraId="0E444357" w14:textId="77777777" w:rsidR="00082C46" w:rsidRDefault="00082C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2880"/>
      <w:gridCol w:w="2880"/>
      <w:gridCol w:w="2880"/>
    </w:tblGrid>
    <w:tr w:rsidR="00B229D2" w14:paraId="2F2D8D53" w14:textId="77777777">
      <w:trPr>
        <w:trHeight w:val="300"/>
      </w:trPr>
      <w:tc>
        <w:tcPr>
          <w:tcW w:w="2880" w:type="dxa"/>
        </w:tcPr>
        <w:p w14:paraId="39426EA1" w14:textId="77777777" w:rsidR="00B229D2" w:rsidRDefault="00B229D2">
          <w:pPr>
            <w:pStyle w:val="Nagwek"/>
            <w:ind w:left="-115"/>
          </w:pPr>
        </w:p>
      </w:tc>
      <w:tc>
        <w:tcPr>
          <w:tcW w:w="2880" w:type="dxa"/>
        </w:tcPr>
        <w:p w14:paraId="449AE922" w14:textId="77777777" w:rsidR="00B229D2" w:rsidRDefault="00B229D2">
          <w:pPr>
            <w:pStyle w:val="Nagwek"/>
            <w:jc w:val="center"/>
          </w:pPr>
        </w:p>
      </w:tc>
      <w:tc>
        <w:tcPr>
          <w:tcW w:w="2880" w:type="dxa"/>
        </w:tcPr>
        <w:p w14:paraId="05EEA49B" w14:textId="77777777" w:rsidR="00B229D2" w:rsidRDefault="00B229D2">
          <w:pPr>
            <w:pStyle w:val="Nagwek"/>
            <w:ind w:right="-115"/>
            <w:jc w:val="right"/>
          </w:pPr>
        </w:p>
      </w:tc>
    </w:tr>
  </w:tbl>
  <w:p w14:paraId="7426178B" w14:textId="77777777" w:rsidR="00DD64CA" w:rsidRPr="004327CE" w:rsidRDefault="00DD64CA" w:rsidP="00DD64CA">
    <w:pPr>
      <w:pStyle w:val="Stopka"/>
      <w:jc w:val="center"/>
      <w:rPr>
        <w:b/>
        <w:bCs/>
        <w:color w:val="007BB8"/>
        <w:sz w:val="18"/>
        <w:szCs w:val="18"/>
        <w:lang w:val="pl-PL"/>
      </w:rPr>
    </w:pPr>
    <w:r w:rsidRPr="004327CE">
      <w:rPr>
        <w:b/>
        <w:bCs/>
        <w:color w:val="007BB8"/>
        <w:sz w:val="18"/>
        <w:szCs w:val="18"/>
        <w:lang w:val="pl-PL"/>
      </w:rPr>
      <w:t xml:space="preserve">Adres siedziby: </w:t>
    </w:r>
    <w:proofErr w:type="spellStart"/>
    <w:r w:rsidRPr="004327CE">
      <w:rPr>
        <w:b/>
        <w:bCs/>
        <w:color w:val="007BB8"/>
        <w:sz w:val="18"/>
        <w:szCs w:val="18"/>
        <w:lang w:val="pl-PL"/>
      </w:rPr>
      <w:t>Topcan</w:t>
    </w:r>
    <w:proofErr w:type="spellEnd"/>
    <w:r w:rsidRPr="004327CE">
      <w:rPr>
        <w:b/>
        <w:bCs/>
        <w:color w:val="007BB8"/>
        <w:sz w:val="18"/>
        <w:szCs w:val="18"/>
        <w:lang w:val="pl-PL"/>
      </w:rPr>
      <w:t xml:space="preserve"> Sp. z o.o., ul. Geodetów 180, 05-500 Piaseczno, tel.: + 48 530 813 521, </w:t>
    </w:r>
  </w:p>
  <w:p w14:paraId="74623670" w14:textId="77777777" w:rsidR="00DD64CA" w:rsidRPr="004327CE" w:rsidRDefault="00DD64CA" w:rsidP="00DD64CA">
    <w:pPr>
      <w:pStyle w:val="Stopka"/>
      <w:jc w:val="center"/>
      <w:rPr>
        <w:b/>
        <w:bCs/>
        <w:color w:val="4F81BD" w:themeColor="accent1"/>
        <w:sz w:val="18"/>
        <w:szCs w:val="18"/>
        <w:lang w:val="pl-PL"/>
      </w:rPr>
    </w:pPr>
    <w:r w:rsidRPr="004327CE">
      <w:rPr>
        <w:b/>
        <w:bCs/>
        <w:color w:val="007BB8"/>
        <w:sz w:val="18"/>
        <w:szCs w:val="18"/>
        <w:lang w:val="pl-PL"/>
      </w:rPr>
      <w:t xml:space="preserve">mail: </w:t>
    </w:r>
    <w:r w:rsidRPr="004327CE">
      <w:rPr>
        <w:b/>
        <w:bCs/>
        <w:color w:val="4F81BD" w:themeColor="accent1"/>
        <w:sz w:val="18"/>
        <w:szCs w:val="18"/>
        <w:lang w:val="pl-PL"/>
      </w:rPr>
      <w:t xml:space="preserve">biuro@topcan.pl, </w:t>
    </w:r>
    <w:hyperlink r:id="rId1" w:history="1">
      <w:r w:rsidRPr="004327CE">
        <w:rPr>
          <w:rStyle w:val="Hipercze"/>
          <w:b/>
          <w:bCs/>
          <w:color w:val="4F81BD" w:themeColor="accent1"/>
          <w:sz w:val="18"/>
          <w:szCs w:val="18"/>
          <w:lang w:val="pl-PL"/>
        </w:rPr>
        <w:t>www.topcan.pl</w:t>
      </w:r>
    </w:hyperlink>
    <w:r w:rsidRPr="004327CE">
      <w:rPr>
        <w:b/>
        <w:bCs/>
        <w:color w:val="4F81BD" w:themeColor="accent1"/>
        <w:sz w:val="18"/>
        <w:szCs w:val="18"/>
        <w:lang w:val="pl-PL"/>
      </w:rPr>
      <w:t xml:space="preserve"> </w:t>
    </w:r>
  </w:p>
  <w:p w14:paraId="76CF6C22" w14:textId="77777777" w:rsidR="00DD64CA" w:rsidRPr="004327CE" w:rsidRDefault="00DD64CA" w:rsidP="00DD64CA">
    <w:pPr>
      <w:pStyle w:val="Stopka"/>
      <w:jc w:val="center"/>
      <w:rPr>
        <w:color w:val="007BB8"/>
        <w:sz w:val="18"/>
        <w:szCs w:val="18"/>
        <w:lang w:val="pl-PL"/>
      </w:rPr>
    </w:pPr>
    <w:proofErr w:type="spellStart"/>
    <w:r w:rsidRPr="004327CE">
      <w:rPr>
        <w:color w:val="007BB8"/>
        <w:sz w:val="18"/>
        <w:szCs w:val="18"/>
        <w:lang w:val="pl-PL"/>
      </w:rPr>
      <w:t>Topcan</w:t>
    </w:r>
    <w:proofErr w:type="spellEnd"/>
    <w:r w:rsidRPr="004327CE">
      <w:rPr>
        <w:color w:val="007BB8"/>
        <w:sz w:val="18"/>
        <w:szCs w:val="18"/>
        <w:lang w:val="pl-PL"/>
      </w:rPr>
      <w:t xml:space="preserve"> Sp. z o.o. Śniadeckich 20/1, 00-656 Warszawa, NIP 701-107-11-25, REGON 521062756, KRS: 0000948619, Sąd Rejonowy dla m. st. Warszawy w Warszawie, XII Wydział Gospodarczy Krajowego Rejestru Sądowego Wysokość kapitału zakładowego 5 000,00 zł.</w:t>
    </w:r>
  </w:p>
  <w:p w14:paraId="019379C8" w14:textId="77777777" w:rsidR="00B229D2" w:rsidRPr="004327CE" w:rsidRDefault="00B229D2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D6E53" w14:textId="77777777" w:rsidR="00082C46" w:rsidRDefault="00082C46">
      <w:pPr>
        <w:spacing w:after="0"/>
      </w:pPr>
      <w:r>
        <w:separator/>
      </w:r>
    </w:p>
  </w:footnote>
  <w:footnote w:type="continuationSeparator" w:id="0">
    <w:p w14:paraId="3F2A477A" w14:textId="77777777" w:rsidR="00082C46" w:rsidRDefault="00082C4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D21F8D" w14:textId="25CD0925" w:rsidR="00B229D2" w:rsidRPr="00DD64CA" w:rsidRDefault="00DD64CA" w:rsidP="00DD64CA">
    <w:pPr>
      <w:pStyle w:val="Nagwek"/>
    </w:pPr>
    <w:r w:rsidRPr="00044C29">
      <w:rPr>
        <w:noProof/>
      </w:rPr>
      <w:drawing>
        <wp:inline distT="0" distB="0" distL="0" distR="0" wp14:anchorId="45E4A70F" wp14:editId="0FF6879E">
          <wp:extent cx="5486400" cy="491067"/>
          <wp:effectExtent l="0" t="0" r="0" b="4445"/>
          <wp:docPr id="20211270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4910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FFFFF7E"/>
    <w:lvl w:ilvl="0">
      <w:start w:val="1"/>
      <w:numFmt w:val="decimal"/>
      <w:pStyle w:val="Listanumerowana3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FFFFFF7F"/>
    <w:lvl w:ilvl="0">
      <w:start w:val="1"/>
      <w:numFmt w:val="decimal"/>
      <w:pStyle w:val="Listanumerowana2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 w15:restartNumberingAfterBreak="0">
    <w:nsid w:val="FFFFFF82"/>
    <w:multiLevelType w:val="singleLevel"/>
    <w:tmpl w:val="FFFFFF82"/>
    <w:lvl w:ilvl="0">
      <w:start w:val="1"/>
      <w:numFmt w:val="bullet"/>
      <w:pStyle w:val="Listapunktowana3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FFFFF83"/>
    <w:lvl w:ilvl="0">
      <w:start w:val="1"/>
      <w:numFmt w:val="bullet"/>
      <w:pStyle w:val="Listapunktowana2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FFFFFF88"/>
    <w:lvl w:ilvl="0">
      <w:start w:val="1"/>
      <w:numFmt w:val="decimal"/>
      <w:pStyle w:val="Listanumerowana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FFFFF89"/>
    <w:lvl w:ilvl="0">
      <w:start w:val="1"/>
      <w:numFmt w:val="bullet"/>
      <w:pStyle w:val="Listapunktowan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FE731A2"/>
    <w:multiLevelType w:val="multilevel"/>
    <w:tmpl w:val="C32030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F165B7"/>
    <w:multiLevelType w:val="multilevel"/>
    <w:tmpl w:val="F33C07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EB380E"/>
    <w:multiLevelType w:val="multilevel"/>
    <w:tmpl w:val="3E4AF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FE56CE"/>
    <w:multiLevelType w:val="multilevel"/>
    <w:tmpl w:val="E2B4A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C42D92"/>
    <w:multiLevelType w:val="multilevel"/>
    <w:tmpl w:val="D0A024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B47086B"/>
    <w:multiLevelType w:val="multilevel"/>
    <w:tmpl w:val="44E0B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A3B5C3C"/>
    <w:multiLevelType w:val="multilevel"/>
    <w:tmpl w:val="53123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6F34EAF"/>
    <w:multiLevelType w:val="multilevel"/>
    <w:tmpl w:val="8CCA9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B0F7FC5"/>
    <w:multiLevelType w:val="multilevel"/>
    <w:tmpl w:val="18586E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2BE2FA2"/>
    <w:multiLevelType w:val="multilevel"/>
    <w:tmpl w:val="13981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37F2D5C"/>
    <w:multiLevelType w:val="multilevel"/>
    <w:tmpl w:val="D5FA7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3EE4612"/>
    <w:multiLevelType w:val="multilevel"/>
    <w:tmpl w:val="BE36CE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3F41E97"/>
    <w:multiLevelType w:val="multilevel"/>
    <w:tmpl w:val="7A7C7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F2C171D"/>
    <w:multiLevelType w:val="multilevel"/>
    <w:tmpl w:val="E6D28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7621514">
    <w:abstractNumId w:val="5"/>
  </w:num>
  <w:num w:numId="2" w16cid:durableId="1499419250">
    <w:abstractNumId w:val="3"/>
  </w:num>
  <w:num w:numId="3" w16cid:durableId="261763579">
    <w:abstractNumId w:val="2"/>
  </w:num>
  <w:num w:numId="4" w16cid:durableId="1415201079">
    <w:abstractNumId w:val="4"/>
  </w:num>
  <w:num w:numId="5" w16cid:durableId="1163662932">
    <w:abstractNumId w:val="1"/>
  </w:num>
  <w:num w:numId="6" w16cid:durableId="1545754837">
    <w:abstractNumId w:val="0"/>
  </w:num>
  <w:num w:numId="7" w16cid:durableId="551186523">
    <w:abstractNumId w:val="19"/>
  </w:num>
  <w:num w:numId="8" w16cid:durableId="1199734695">
    <w:abstractNumId w:val="11"/>
  </w:num>
  <w:num w:numId="9" w16cid:durableId="1553073461">
    <w:abstractNumId w:val="9"/>
  </w:num>
  <w:num w:numId="10" w16cid:durableId="33310382">
    <w:abstractNumId w:val="12"/>
  </w:num>
  <w:num w:numId="11" w16cid:durableId="1851333906">
    <w:abstractNumId w:val="8"/>
  </w:num>
  <w:num w:numId="12" w16cid:durableId="614485181">
    <w:abstractNumId w:val="13"/>
  </w:num>
  <w:num w:numId="13" w16cid:durableId="1832721622">
    <w:abstractNumId w:val="10"/>
  </w:num>
  <w:num w:numId="14" w16cid:durableId="1880170210">
    <w:abstractNumId w:val="16"/>
  </w:num>
  <w:num w:numId="15" w16cid:durableId="1234043059">
    <w:abstractNumId w:val="18"/>
  </w:num>
  <w:num w:numId="16" w16cid:durableId="1764450896">
    <w:abstractNumId w:val="15"/>
  </w:num>
  <w:num w:numId="17" w16cid:durableId="1218281103">
    <w:abstractNumId w:val="14"/>
  </w:num>
  <w:num w:numId="18" w16cid:durableId="1808012828">
    <w:abstractNumId w:val="6"/>
  </w:num>
  <w:num w:numId="19" w16cid:durableId="1207641063">
    <w:abstractNumId w:val="17"/>
  </w:num>
  <w:num w:numId="20" w16cid:durableId="7932519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0BAD"/>
    <w:rsid w:val="00034616"/>
    <w:rsid w:val="0006063C"/>
    <w:rsid w:val="00082C46"/>
    <w:rsid w:val="00085D33"/>
    <w:rsid w:val="00143FCE"/>
    <w:rsid w:val="0015074B"/>
    <w:rsid w:val="0017213C"/>
    <w:rsid w:val="00192349"/>
    <w:rsid w:val="001D27F9"/>
    <w:rsid w:val="00204013"/>
    <w:rsid w:val="002058D4"/>
    <w:rsid w:val="0029639D"/>
    <w:rsid w:val="002B3688"/>
    <w:rsid w:val="002D1EC8"/>
    <w:rsid w:val="002F39E4"/>
    <w:rsid w:val="003022DF"/>
    <w:rsid w:val="0030325E"/>
    <w:rsid w:val="00305363"/>
    <w:rsid w:val="00326F90"/>
    <w:rsid w:val="0038178D"/>
    <w:rsid w:val="00431E12"/>
    <w:rsid w:val="004327CE"/>
    <w:rsid w:val="0049035F"/>
    <w:rsid w:val="004C7683"/>
    <w:rsid w:val="005224C7"/>
    <w:rsid w:val="00527E12"/>
    <w:rsid w:val="00547D74"/>
    <w:rsid w:val="005B09DC"/>
    <w:rsid w:val="005D4FA0"/>
    <w:rsid w:val="0066122F"/>
    <w:rsid w:val="006660C3"/>
    <w:rsid w:val="006749F9"/>
    <w:rsid w:val="0069272D"/>
    <w:rsid w:val="006B6A97"/>
    <w:rsid w:val="007039D7"/>
    <w:rsid w:val="007323A2"/>
    <w:rsid w:val="0075381B"/>
    <w:rsid w:val="00775E76"/>
    <w:rsid w:val="00777051"/>
    <w:rsid w:val="0078221D"/>
    <w:rsid w:val="007A32DE"/>
    <w:rsid w:val="007C4103"/>
    <w:rsid w:val="007C77F1"/>
    <w:rsid w:val="00860A53"/>
    <w:rsid w:val="00861B1B"/>
    <w:rsid w:val="0088676E"/>
    <w:rsid w:val="008935E7"/>
    <w:rsid w:val="008F5613"/>
    <w:rsid w:val="008F7CB4"/>
    <w:rsid w:val="00915913"/>
    <w:rsid w:val="00944839"/>
    <w:rsid w:val="009803BE"/>
    <w:rsid w:val="00A669A3"/>
    <w:rsid w:val="00AA1D8D"/>
    <w:rsid w:val="00AC42C1"/>
    <w:rsid w:val="00B229D2"/>
    <w:rsid w:val="00B4194B"/>
    <w:rsid w:val="00B47730"/>
    <w:rsid w:val="00B64215"/>
    <w:rsid w:val="00BE0533"/>
    <w:rsid w:val="00C057BA"/>
    <w:rsid w:val="00C5609F"/>
    <w:rsid w:val="00C94210"/>
    <w:rsid w:val="00C95B31"/>
    <w:rsid w:val="00CB0664"/>
    <w:rsid w:val="00CC0BB3"/>
    <w:rsid w:val="00CE4756"/>
    <w:rsid w:val="00CF7566"/>
    <w:rsid w:val="00D17DF3"/>
    <w:rsid w:val="00D96DB0"/>
    <w:rsid w:val="00DC6BF9"/>
    <w:rsid w:val="00DD64CA"/>
    <w:rsid w:val="00E34AF6"/>
    <w:rsid w:val="00E46E25"/>
    <w:rsid w:val="00E57685"/>
    <w:rsid w:val="00E71609"/>
    <w:rsid w:val="00E94C72"/>
    <w:rsid w:val="00E96EA5"/>
    <w:rsid w:val="00EB5D83"/>
    <w:rsid w:val="00EC36BC"/>
    <w:rsid w:val="00F745DC"/>
    <w:rsid w:val="00FA07A2"/>
    <w:rsid w:val="00FA768D"/>
    <w:rsid w:val="00FC693F"/>
    <w:rsid w:val="00FD308C"/>
    <w:rsid w:val="00FE2485"/>
    <w:rsid w:val="01238EB8"/>
    <w:rsid w:val="06EC9F7E"/>
    <w:rsid w:val="079D1027"/>
    <w:rsid w:val="08D6220D"/>
    <w:rsid w:val="09858D90"/>
    <w:rsid w:val="0E534197"/>
    <w:rsid w:val="10C14F48"/>
    <w:rsid w:val="12064A91"/>
    <w:rsid w:val="12C210D1"/>
    <w:rsid w:val="13214532"/>
    <w:rsid w:val="14B3909E"/>
    <w:rsid w:val="1DAF7D8B"/>
    <w:rsid w:val="1E1C0F34"/>
    <w:rsid w:val="21B66D25"/>
    <w:rsid w:val="28BFDBE3"/>
    <w:rsid w:val="2992B0F8"/>
    <w:rsid w:val="2C6465D1"/>
    <w:rsid w:val="3D12AE48"/>
    <w:rsid w:val="3D2E862D"/>
    <w:rsid w:val="3D3285BB"/>
    <w:rsid w:val="414E4CEC"/>
    <w:rsid w:val="418CE718"/>
    <w:rsid w:val="49A7C3F6"/>
    <w:rsid w:val="52A38024"/>
    <w:rsid w:val="5314FDB5"/>
    <w:rsid w:val="57743BB9"/>
    <w:rsid w:val="5779F6A3"/>
    <w:rsid w:val="59D48C5E"/>
    <w:rsid w:val="59EBEFAD"/>
    <w:rsid w:val="5A0F3A04"/>
    <w:rsid w:val="5B207D34"/>
    <w:rsid w:val="5C9C005B"/>
    <w:rsid w:val="611867C4"/>
    <w:rsid w:val="61ADA20B"/>
    <w:rsid w:val="6336120C"/>
    <w:rsid w:val="643CC657"/>
    <w:rsid w:val="646DF7EE"/>
    <w:rsid w:val="6E6B5492"/>
    <w:rsid w:val="6E8B3F65"/>
    <w:rsid w:val="705EF5C4"/>
    <w:rsid w:val="7255BDE0"/>
    <w:rsid w:val="752C77E6"/>
    <w:rsid w:val="765CE39C"/>
    <w:rsid w:val="776207FB"/>
    <w:rsid w:val="78F0CBF3"/>
    <w:rsid w:val="7D0C5D50"/>
    <w:rsid w:val="7D1CDE25"/>
    <w:rsid w:val="7E5B0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E7873E"/>
  <w14:defaultImageDpi w14:val="300"/>
  <w15:docId w15:val="{C10E8DD5-3297-42F4-ACCD-D67884E0E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unhideWhenUsed="1" w:qFormat="1"/>
    <w:lsdException w:name="toa heading" w:semiHidden="1" w:unhideWhenUsed="1"/>
    <w:lsdException w:name="List" w:unhideWhenUsed="1" w:qFormat="1"/>
    <w:lsdException w:name="List Bullet" w:unhideWhenUsed="1" w:qFormat="1"/>
    <w:lsdException w:name="List Number" w:unhideWhenUsed="1" w:qFormat="1"/>
    <w:lsdException w:name="List 2" w:unhideWhenUsed="1" w:qFormat="1"/>
    <w:lsdException w:name="List 3" w:unhideWhenUsed="1" w:qFormat="1"/>
    <w:lsdException w:name="List 4" w:semiHidden="1" w:unhideWhenUsed="1"/>
    <w:lsdException w:name="List 5" w:semiHidden="1" w:unhideWhenUsed="1"/>
    <w:lsdException w:name="List Bullet 2" w:unhideWhenUsed="1" w:qFormat="1"/>
    <w:lsdException w:name="List Bullet 3" w:unhideWhenUsed="1" w:qFormat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 w:qFormat="1"/>
    <w:lsdException w:name="Body Text Indent" w:semiHidden="1" w:unhideWhenUsed="1"/>
    <w:lsdException w:name="List Continue" w:unhideWhenUsed="1"/>
    <w:lsdException w:name="List Continue 2" w:unhideWhenUsed="1" w:qFormat="1"/>
    <w:lsdException w:name="List Continue 3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 w:qFormat="1"/>
    <w:lsdException w:name="Light List" w:uiPriority="61" w:qFormat="1"/>
    <w:lsdException w:name="Light Grid" w:uiPriority="62" w:qFormat="1"/>
    <w:lsdException w:name="Medium Shading 1" w:uiPriority="63" w:qFormat="1"/>
    <w:lsdException w:name="Medium Shading 2" w:uiPriority="64" w:qFormat="1"/>
    <w:lsdException w:name="Medium List 1" w:uiPriority="65" w:qFormat="1"/>
    <w:lsdException w:name="Medium List 2" w:uiPriority="66" w:qFormat="1"/>
    <w:lsdException w:name="Medium Grid 1" w:uiPriority="67" w:qFormat="1"/>
    <w:lsdException w:name="Medium Grid 2" w:uiPriority="68" w:qFormat="1"/>
    <w:lsdException w:name="Medium Grid 3" w:uiPriority="69" w:qFormat="1"/>
    <w:lsdException w:name="Dark List" w:uiPriority="70" w:qFormat="1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/>
    <w:lsdException w:name="Light List Accent 1" w:uiPriority="61"/>
    <w:lsdException w:name="Light Grid Accent 1" w:uiPriority="62" w:qFormat="1"/>
    <w:lsdException w:name="Medium Shading 1 Accent 1" w:uiPriority="63" w:qFormat="1"/>
    <w:lsdException w:name="Medium Shading 2 Accent 1" w:uiPriority="64" w:qFormat="1"/>
    <w:lsdException w:name="Medium List 1 Accent 1" w:uiPriority="65" w:qFormat="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 w:qFormat="1"/>
    <w:lsdException w:name="Medium Grid 1 Accent 1" w:uiPriority="67" w:qFormat="1"/>
    <w:lsdException w:name="Medium Grid 2 Accent 1" w:uiPriority="68" w:qFormat="1"/>
    <w:lsdException w:name="Medium Grid 3 Accent 1" w:uiPriority="69" w:qFormat="1"/>
    <w:lsdException w:name="Dark List Accent 1" w:uiPriority="70" w:qFormat="1"/>
    <w:lsdException w:name="Colorful Shading Accent 1" w:uiPriority="71" w:qFormat="1"/>
    <w:lsdException w:name="Colorful List Accent 1" w:uiPriority="72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 w:qFormat="1"/>
    <w:lsdException w:name="Medium Shading 1 Accent 2" w:uiPriority="63" w:qFormat="1"/>
    <w:lsdException w:name="Medium Shading 2 Accent 2" w:uiPriority="64" w:qFormat="1"/>
    <w:lsdException w:name="Medium List 1 Accent 2" w:uiPriority="65" w:qFormat="1"/>
    <w:lsdException w:name="Medium List 2 Accent 2" w:uiPriority="66" w:qFormat="1"/>
    <w:lsdException w:name="Medium Grid 1 Accent 2" w:uiPriority="67" w:qFormat="1"/>
    <w:lsdException w:name="Medium Grid 2 Accent 2" w:uiPriority="68" w:qFormat="1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 w:qFormat="1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 w:qFormat="1"/>
    <w:lsdException w:name="Medium Shading 1 Accent 3" w:uiPriority="63" w:qFormat="1"/>
    <w:lsdException w:name="Medium Shading 2 Accent 3" w:uiPriority="64" w:qFormat="1"/>
    <w:lsdException w:name="Medium List 1 Accent 3" w:uiPriority="65" w:qFormat="1"/>
    <w:lsdException w:name="Medium List 2 Accent 3" w:uiPriority="66"/>
    <w:lsdException w:name="Medium Grid 1 Accent 3" w:uiPriority="67" w:qFormat="1"/>
    <w:lsdException w:name="Medium Grid 2 Accent 3" w:uiPriority="68"/>
    <w:lsdException w:name="Medium Grid 3 Accent 3" w:uiPriority="69" w:qFormat="1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 w:qFormat="1"/>
    <w:lsdException w:name="Light Shading Accent 4" w:uiPriority="60" w:qFormat="1"/>
    <w:lsdException w:name="Light List Accent 4" w:uiPriority="61" w:qFormat="1"/>
    <w:lsdException w:name="Light Grid Accent 4" w:uiPriority="62" w:qFormat="1"/>
    <w:lsdException w:name="Medium Shading 1 Accent 4" w:uiPriority="63" w:qFormat="1"/>
    <w:lsdException w:name="Medium Shading 2 Accent 4" w:uiPriority="64" w:qFormat="1"/>
    <w:lsdException w:name="Medium List 1 Accent 4" w:uiPriority="65" w:qFormat="1"/>
    <w:lsdException w:name="Medium List 2 Accent 4" w:uiPriority="66" w:qFormat="1"/>
    <w:lsdException w:name="Medium Grid 1 Accent 4" w:uiPriority="67" w:qFormat="1"/>
    <w:lsdException w:name="Medium Grid 2 Accent 4" w:uiPriority="68" w:qFormat="1"/>
    <w:lsdException w:name="Medium Grid 3 Accent 4" w:uiPriority="69" w:qFormat="1"/>
    <w:lsdException w:name="Dark List Accent 4" w:uiPriority="70" w:qFormat="1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 w:qFormat="1"/>
    <w:lsdException w:name="Light Grid Accent 5" w:uiPriority="62" w:qFormat="1"/>
    <w:lsdException w:name="Medium Shading 1 Accent 5" w:uiPriority="63" w:qFormat="1"/>
    <w:lsdException w:name="Medium Shading 2 Accent 5" w:uiPriority="64" w:qFormat="1"/>
    <w:lsdException w:name="Medium List 1 Accent 5" w:uiPriority="65" w:qFormat="1"/>
    <w:lsdException w:name="Medium List 2 Accent 5" w:uiPriority="66"/>
    <w:lsdException w:name="Medium Grid 1 Accent 5" w:uiPriority="67" w:qFormat="1"/>
    <w:lsdException w:name="Medium Grid 2 Accent 5" w:uiPriority="68" w:qFormat="1"/>
    <w:lsdException w:name="Medium Grid 3 Accent 5" w:uiPriority="69" w:qFormat="1"/>
    <w:lsdException w:name="Dark List Accent 5" w:uiPriority="70"/>
    <w:lsdException w:name="Colorful Shading Accent 5" w:uiPriority="71" w:qFormat="1"/>
    <w:lsdException w:name="Colorful List Accent 5" w:uiPriority="72" w:qFormat="1"/>
    <w:lsdException w:name="Colorful Grid Accent 5" w:uiPriority="73"/>
    <w:lsdException w:name="Light Shading Accent 6" w:uiPriority="60" w:qFormat="1"/>
    <w:lsdException w:name="Light List Accent 6" w:uiPriority="61"/>
    <w:lsdException w:name="Light Grid Accent 6" w:uiPriority="62" w:qFormat="1"/>
    <w:lsdException w:name="Medium Shading 1 Accent 6" w:uiPriority="63" w:qFormat="1"/>
    <w:lsdException w:name="Medium Shading 2 Accent 6" w:uiPriority="64" w:qFormat="1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 w:qFormat="1"/>
    <w:lsdException w:name="Colorful Shading Accent 6" w:uiPriority="71" w:qFormat="1"/>
    <w:lsdException w:name="Colorful List Accent 6" w:uiPriority="72" w:qFormat="1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qFormat/>
    <w:pPr>
      <w:spacing w:after="120"/>
    </w:pPr>
  </w:style>
  <w:style w:type="paragraph" w:styleId="Tekstpodstawowy2">
    <w:name w:val="Body Text 2"/>
    <w:basedOn w:val="Normalny"/>
    <w:link w:val="Tekstpodstawowy2Znak"/>
    <w:uiPriority w:val="99"/>
    <w:unhideWhenUsed/>
    <w:pPr>
      <w:spacing w:after="120" w:line="480" w:lineRule="auto"/>
    </w:pPr>
  </w:style>
  <w:style w:type="paragraph" w:styleId="Tekstpodstawowy3">
    <w:name w:val="Body Text 3"/>
    <w:basedOn w:val="Normalny"/>
    <w:link w:val="Tekstpodstawowy3Znak"/>
    <w:uiPriority w:val="99"/>
    <w:unhideWhenUsed/>
    <w:qFormat/>
    <w:pPr>
      <w:spacing w:after="120"/>
    </w:pPr>
    <w:rPr>
      <w:sz w:val="16"/>
      <w:szCs w:val="16"/>
    </w:rPr>
  </w:style>
  <w:style w:type="paragraph" w:styleId="Legenda">
    <w:name w:val="caption"/>
    <w:basedOn w:val="Normalny"/>
    <w:next w:val="Normalny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Lista">
    <w:name w:val="List"/>
    <w:basedOn w:val="Normalny"/>
    <w:uiPriority w:val="99"/>
    <w:unhideWhenUsed/>
    <w:qFormat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qFormat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qFormat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qFormat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qFormat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qFormat/>
    <w:pPr>
      <w:numPr>
        <w:numId w:val="3"/>
      </w:numPr>
      <w:contextualSpacing/>
    </w:pPr>
  </w:style>
  <w:style w:type="paragraph" w:styleId="Lista-kontynuacja">
    <w:name w:val="List Continue"/>
    <w:basedOn w:val="Normalny"/>
    <w:uiPriority w:val="99"/>
    <w:unhideWhenUsed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qFormat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qFormat/>
    <w:pPr>
      <w:spacing w:after="120"/>
      <w:ind w:left="1080"/>
      <w:contextualSpacing/>
    </w:pPr>
  </w:style>
  <w:style w:type="paragraph" w:styleId="Listanumerowana">
    <w:name w:val="List Number"/>
    <w:basedOn w:val="Normalny"/>
    <w:uiPriority w:val="99"/>
    <w:unhideWhenUsed/>
    <w:qFormat/>
    <w:pPr>
      <w:numPr>
        <w:numId w:val="4"/>
      </w:numPr>
      <w:contextualSpacing/>
    </w:pPr>
  </w:style>
  <w:style w:type="paragraph" w:styleId="Listanumerowana2">
    <w:name w:val="List Number 2"/>
    <w:basedOn w:val="Normalny"/>
    <w:uiPriority w:val="99"/>
    <w:unhideWhenUsed/>
    <w:pPr>
      <w:numPr>
        <w:numId w:val="5"/>
      </w:numPr>
      <w:contextualSpacing/>
    </w:pPr>
  </w:style>
  <w:style w:type="paragraph" w:styleId="Listanumerowana3">
    <w:name w:val="List Number 3"/>
    <w:basedOn w:val="Normalny"/>
    <w:uiPriority w:val="99"/>
    <w:unhideWhenUsed/>
    <w:qFormat/>
    <w:pPr>
      <w:numPr>
        <w:numId w:val="6"/>
      </w:numPr>
      <w:contextualSpacing/>
    </w:pPr>
  </w:style>
  <w:style w:type="paragraph" w:styleId="Tekstmakra">
    <w:name w:val="macro"/>
    <w:link w:val="TekstmakraZnak"/>
    <w:uiPriority w:val="99"/>
    <w:unhideWhenUsed/>
    <w:qFormat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/>
      <w:lang w:val="en-US" w:eastAsia="en-US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styleId="Podtytu">
    <w:name w:val="Subtitle"/>
    <w:basedOn w:val="Normalny"/>
    <w:next w:val="Normalny"/>
    <w:link w:val="PodtytuZnak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Jasnecieniowanie">
    <w:name w:val="Light Shading"/>
    <w:basedOn w:val="Standardowy"/>
    <w:uiPriority w:val="60"/>
    <w:qFormat/>
    <w:rPr>
      <w:color w:val="000000" w:themeColor="text1" w:themeShade="BF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Pr>
      <w:color w:val="365F91" w:themeColor="accent1" w:themeShade="BF"/>
    </w:rPr>
    <w:tblPr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Pr>
      <w:color w:val="943634" w:themeColor="accent2" w:themeShade="BF"/>
    </w:rPr>
    <w:tblPr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Pr>
      <w:color w:val="76923C" w:themeColor="accent3" w:themeShade="BF"/>
    </w:rPr>
    <w:tblPr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qFormat/>
    <w:rPr>
      <w:color w:val="5F497A" w:themeColor="accent4" w:themeShade="BF"/>
    </w:rPr>
    <w:tblPr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Pr>
      <w:color w:val="31849B" w:themeColor="accent5" w:themeShade="BF"/>
    </w:rPr>
    <w:tblPr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qFormat/>
    <w:rPr>
      <w:color w:val="E36C0A" w:themeColor="accent6" w:themeShade="BF"/>
    </w:rPr>
    <w:tblPr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qFormat/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qFormat/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qFormat/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qFormat/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</w:tcPr>
    </w:tblStylePr>
  </w:style>
  <w:style w:type="table" w:styleId="Jasnasiatkaakcent1">
    <w:name w:val="Light Grid Accent 1"/>
    <w:basedOn w:val="Standardowy"/>
    <w:uiPriority w:val="62"/>
    <w:qFormat/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auto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auto"/>
        </w:tcBorders>
      </w:tcPr>
    </w:tblStylePr>
  </w:style>
  <w:style w:type="table" w:styleId="Jasnasiatkaakcent2">
    <w:name w:val="Light Grid Accent 2"/>
    <w:basedOn w:val="Standardowy"/>
    <w:uiPriority w:val="62"/>
    <w:qFormat/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auto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auto"/>
        </w:tcBorders>
      </w:tcPr>
    </w:tblStylePr>
  </w:style>
  <w:style w:type="table" w:styleId="Jasnasiatkaakcent3">
    <w:name w:val="Light Grid Accent 3"/>
    <w:basedOn w:val="Standardowy"/>
    <w:uiPriority w:val="62"/>
    <w:qFormat/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auto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auto"/>
        </w:tcBorders>
      </w:tcPr>
    </w:tblStylePr>
  </w:style>
  <w:style w:type="table" w:styleId="Jasnasiatkaakcent4">
    <w:name w:val="Light Grid Accent 4"/>
    <w:basedOn w:val="Standardowy"/>
    <w:uiPriority w:val="62"/>
    <w:qFormat/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auto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auto"/>
        </w:tcBorders>
      </w:tcPr>
    </w:tblStylePr>
  </w:style>
  <w:style w:type="table" w:styleId="Jasnasiatkaakcent5">
    <w:name w:val="Light Grid Accent 5"/>
    <w:basedOn w:val="Standardowy"/>
    <w:uiPriority w:val="62"/>
    <w:qFormat/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auto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auto"/>
        </w:tcBorders>
      </w:tcPr>
    </w:tblStylePr>
  </w:style>
  <w:style w:type="table" w:styleId="Jasnasiatkaakcent6">
    <w:name w:val="Light Grid Accent 6"/>
    <w:basedOn w:val="Standardowy"/>
    <w:uiPriority w:val="62"/>
    <w:qFormat/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auto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auto"/>
        </w:tcBorders>
      </w:tcPr>
    </w:tblStylePr>
  </w:style>
  <w:style w:type="table" w:styleId="redniecieniowanie1">
    <w:name w:val="Medium Shading 1"/>
    <w:basedOn w:val="Standardowy"/>
    <w:uiPriority w:val="63"/>
    <w:qFormat/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qFormat/>
    <w:tblPr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qFormat/>
    <w:tblPr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qFormat/>
    <w:tblPr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qFormat/>
    <w:tblPr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qFormat/>
    <w:tblPr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qFormat/>
    <w:tblPr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qFormat/>
    <w:rPr>
      <w:color w:val="000000" w:themeColor="text1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qFormat/>
    <w:rPr>
      <w:color w:val="000000" w:themeColor="text1"/>
    </w:rPr>
    <w:tblPr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qFormat/>
    <w:rPr>
      <w:color w:val="000000" w:themeColor="text1"/>
    </w:rPr>
    <w:tblPr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qFormat/>
    <w:rPr>
      <w:color w:val="000000" w:themeColor="text1"/>
    </w:rPr>
    <w:tblPr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qFormat/>
    <w:rPr>
      <w:color w:val="000000" w:themeColor="text1"/>
    </w:rPr>
    <w:tblPr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qFormat/>
    <w:rPr>
      <w:color w:val="000000" w:themeColor="text1"/>
    </w:rPr>
    <w:tblPr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qFormat/>
    <w:rPr>
      <w:color w:val="000000" w:themeColor="text1"/>
    </w:rPr>
    <w:tblPr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qFormat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qFormat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qFormat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qFormat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qFormat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qFormat/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qFormat/>
    <w:tblPr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qFormat/>
    <w:tblPr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qFormat/>
    <w:tblPr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qFormat/>
    <w:tblPr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qFormat/>
    <w:tblPr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qFormat/>
    <w:tblPr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qFormat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qFormat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qFormat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qFormat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qFormat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qFormat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qFormat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qFormat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qFormat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qFormat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qFormat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qFormat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qFormat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qFormat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qFormat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qFormat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Pr>
      <w:color w:val="000000" w:themeColor="text1"/>
    </w:rPr>
    <w:tblPr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qFormat/>
    <w:rPr>
      <w:color w:val="000000" w:themeColor="text1"/>
    </w:rPr>
    <w:tblPr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Pr>
      <w:color w:val="000000" w:themeColor="text1"/>
    </w:rPr>
    <w:tblPr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Pr>
      <w:color w:val="000000" w:themeColor="text1"/>
    </w:rPr>
    <w:tblPr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Pr>
      <w:color w:val="000000" w:themeColor="text1"/>
    </w:rPr>
    <w:tblPr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qFormat/>
    <w:rPr>
      <w:color w:val="000000" w:themeColor="text1"/>
    </w:rPr>
    <w:tblPr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qFormat/>
    <w:rPr>
      <w:color w:val="000000" w:themeColor="text1"/>
    </w:rPr>
    <w:tblPr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qFormat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qFormat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qFormat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qFormat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qFormat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qFormat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qFormat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Bezodstpw">
    <w:name w:val="No Spacing"/>
    <w:uiPriority w:val="1"/>
    <w:qFormat/>
    <w:rPr>
      <w:sz w:val="22"/>
      <w:szCs w:val="22"/>
      <w:lang w:val="en-US" w:eastAsia="en-US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ytuZnak">
    <w:name w:val="Tytuł Znak"/>
    <w:basedOn w:val="Domylnaczcionkaakapitu"/>
    <w:link w:val="Tytu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PodtytuZnak">
    <w:name w:val="Podtytuł Znak"/>
    <w:basedOn w:val="Domylnaczcionkaakapitu"/>
    <w:link w:val="Podtytu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TekstpodstawowyZnak">
    <w:name w:val="Tekst podstawowy Znak"/>
    <w:basedOn w:val="Domylnaczcionkaakapitu"/>
    <w:link w:val="Tekstpodstawowy"/>
    <w:uiPriority w:val="99"/>
    <w:qFormat/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</w:style>
  <w:style w:type="character" w:customStyle="1" w:styleId="Tekstpodstawowy3Znak">
    <w:name w:val="Tekst podstawowy 3 Znak"/>
    <w:basedOn w:val="Domylnaczcionkaakapitu"/>
    <w:link w:val="Tekstpodstawowy3"/>
    <w:uiPriority w:val="99"/>
    <w:rPr>
      <w:sz w:val="16"/>
      <w:szCs w:val="16"/>
    </w:rPr>
  </w:style>
  <w:style w:type="character" w:customStyle="1" w:styleId="TekstmakraZnak">
    <w:name w:val="Tekst makra Znak"/>
    <w:basedOn w:val="Domylnaczcionkaakapitu"/>
    <w:link w:val="Tekstmakra"/>
    <w:uiPriority w:val="99"/>
    <w:qFormat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qFormat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b/>
      <w:bCs/>
      <w:i/>
      <w:iCs/>
      <w:color w:val="4F81BD" w:themeColor="accent1"/>
    </w:rPr>
  </w:style>
  <w:style w:type="character" w:customStyle="1" w:styleId="Wyrnieniedelikatne1">
    <w:name w:val="Wyróżnienie delikatne1"/>
    <w:basedOn w:val="Domylnaczcionkaakapitu"/>
    <w:uiPriority w:val="19"/>
    <w:qFormat/>
    <w:rPr>
      <w:i/>
      <w:iCs/>
      <w:color w:val="7F7F7F" w:themeColor="text1" w:themeTint="80"/>
    </w:rPr>
  </w:style>
  <w:style w:type="character" w:customStyle="1" w:styleId="Wyrnienieintensywne1">
    <w:name w:val="Wyróżnienie intensywne1"/>
    <w:basedOn w:val="Domylnaczcionkaakapitu"/>
    <w:uiPriority w:val="21"/>
    <w:qFormat/>
    <w:rPr>
      <w:b/>
      <w:bCs/>
      <w:i/>
      <w:iCs/>
      <w:color w:val="4F81BD" w:themeColor="accent1"/>
    </w:rPr>
  </w:style>
  <w:style w:type="character" w:customStyle="1" w:styleId="Odwoaniedelikatne1">
    <w:name w:val="Odwołanie delikatne1"/>
    <w:basedOn w:val="Domylnaczcionkaakapitu"/>
    <w:uiPriority w:val="31"/>
    <w:qFormat/>
    <w:rPr>
      <w:smallCaps/>
      <w:color w:val="C0504D" w:themeColor="accent2"/>
      <w:u w:val="single"/>
    </w:rPr>
  </w:style>
  <w:style w:type="character" w:customStyle="1" w:styleId="Odwoanieintensywne1">
    <w:name w:val="Odwołanie intensywne1"/>
    <w:basedOn w:val="Domylnaczcionkaakapitu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customStyle="1" w:styleId="Tytuksiki1">
    <w:name w:val="Tytuł książki1"/>
    <w:basedOn w:val="Domylnaczcionkaakapitu"/>
    <w:uiPriority w:val="33"/>
    <w:qFormat/>
    <w:rPr>
      <w:b/>
      <w:bCs/>
      <w:smallCaps/>
      <w:spacing w:val="5"/>
    </w:rPr>
  </w:style>
  <w:style w:type="paragraph" w:customStyle="1" w:styleId="Nagwekspisutreci1">
    <w:name w:val="Nagłówek spisu treści1"/>
    <w:basedOn w:val="Nagwek1"/>
    <w:next w:val="Normalny"/>
    <w:uiPriority w:val="39"/>
    <w:semiHidden/>
    <w:unhideWhenUsed/>
    <w:qFormat/>
    <w:pPr>
      <w:outlineLvl w:val="9"/>
    </w:pPr>
  </w:style>
  <w:style w:type="character" w:styleId="Hipercze">
    <w:name w:val="Hyperlink"/>
    <w:basedOn w:val="Domylnaczcionkaakapitu"/>
    <w:uiPriority w:val="99"/>
    <w:unhideWhenUsed/>
    <w:rsid w:val="00DD64CA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70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70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7051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70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7051"/>
    <w:rPr>
      <w:b/>
      <w:bCs/>
      <w:lang w:val="en-US" w:eastAsia="en-US"/>
    </w:rPr>
  </w:style>
  <w:style w:type="paragraph" w:styleId="Poprawka">
    <w:name w:val="Revision"/>
    <w:hidden/>
    <w:uiPriority w:val="99"/>
    <w:unhideWhenUsed/>
    <w:rsid w:val="00E34AF6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topcan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988</Words>
  <Characters>5932</Characters>
  <Application>Microsoft Office Word</Application>
  <DocSecurity>0</DocSecurity>
  <Lines>49</Lines>
  <Paragraphs>13</Paragraphs>
  <ScaleCrop>false</ScaleCrop>
  <Company/>
  <LinksUpToDate>false</LinksUpToDate>
  <CharactersWithSpaces>6907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Karolina Piądłowska-Firlej</cp:lastModifiedBy>
  <cp:revision>25</cp:revision>
  <dcterms:created xsi:type="dcterms:W3CDTF">2025-11-06T11:18:00Z</dcterms:created>
  <dcterms:modified xsi:type="dcterms:W3CDTF">2025-12-16T10:41:00Z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1045-12.2.0.21931</vt:lpwstr>
  </property>
  <property fmtid="{D5CDD505-2E9C-101B-9397-08002B2CF9AE}" pid="3" name="ICV">
    <vt:lpwstr>2CF14DBA5A764418AC76D260DB65C647_13</vt:lpwstr>
  </property>
</Properties>
</file>